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87D5F" w14:textId="4742AF24" w:rsidR="00EB1414" w:rsidRPr="0032430A" w:rsidRDefault="00EB1414" w:rsidP="00516984">
      <w:pPr>
        <w:spacing w:line="420" w:lineRule="atLeast"/>
        <w:jc w:val="center"/>
        <w:rPr>
          <w:rFonts w:ascii="Arial" w:hAnsi="Arial" w:cs="Arial"/>
          <w:b/>
          <w:bCs/>
          <w:color w:val="000000" w:themeColor="text1"/>
          <w:sz w:val="28"/>
          <w:szCs w:val="28"/>
          <w:u w:val="single"/>
        </w:rPr>
      </w:pPr>
      <w:r w:rsidRPr="0032430A">
        <w:rPr>
          <w:rFonts w:ascii="Arial" w:hAnsi="Arial" w:cs="Arial"/>
          <w:b/>
          <w:bCs/>
          <w:color w:val="000000" w:themeColor="text1"/>
          <w:sz w:val="28"/>
          <w:szCs w:val="28"/>
          <w:u w:val="single"/>
        </w:rPr>
        <w:t xml:space="preserve">INFORMATION APPENDIX: CURRENT STATUS OF EQUALITY OBJECTIVE DELIVERABLES AND </w:t>
      </w:r>
      <w:r w:rsidR="00512E16" w:rsidRPr="0032430A">
        <w:rPr>
          <w:rFonts w:ascii="Arial" w:hAnsi="Arial" w:cs="Arial"/>
          <w:b/>
          <w:bCs/>
          <w:color w:val="000000" w:themeColor="text1"/>
          <w:sz w:val="28"/>
          <w:szCs w:val="28"/>
          <w:u w:val="single"/>
        </w:rPr>
        <w:t>MEASURES OF SUCCESS</w:t>
      </w:r>
    </w:p>
    <w:p w14:paraId="091D6674" w14:textId="47ADAC08" w:rsidR="00516984" w:rsidRPr="0032430A" w:rsidRDefault="00154508" w:rsidP="00512E16">
      <w:pPr>
        <w:spacing w:line="420" w:lineRule="atLeast"/>
        <w:rPr>
          <w:rFonts w:ascii="Arial" w:hAnsi="Arial" w:cs="Arial"/>
          <w:b/>
          <w:bCs/>
          <w:color w:val="000000" w:themeColor="text1"/>
          <w:sz w:val="28"/>
          <w:szCs w:val="28"/>
          <w:u w:val="single"/>
        </w:rPr>
      </w:pPr>
      <w:r>
        <w:rPr>
          <w:rFonts w:ascii="Arial" w:hAnsi="Arial" w:cs="Arial"/>
          <w:b/>
          <w:bCs/>
          <w:color w:val="000000" w:themeColor="text1"/>
          <w:sz w:val="28"/>
          <w:szCs w:val="28"/>
          <w:u w:val="single"/>
        </w:rPr>
        <w:t>Table 1:</w:t>
      </w:r>
      <w:r w:rsidR="0022549A">
        <w:rPr>
          <w:rFonts w:ascii="Arial" w:hAnsi="Arial" w:cs="Arial"/>
          <w:b/>
          <w:bCs/>
          <w:color w:val="000000" w:themeColor="text1"/>
          <w:sz w:val="28"/>
          <w:szCs w:val="28"/>
          <w:u w:val="single"/>
        </w:rPr>
        <w:t xml:space="preserve"> </w:t>
      </w:r>
      <w:r w:rsidR="00516984" w:rsidRPr="0032430A">
        <w:rPr>
          <w:rFonts w:ascii="Arial" w:hAnsi="Arial" w:cs="Arial"/>
          <w:b/>
          <w:bCs/>
          <w:color w:val="000000" w:themeColor="text1"/>
          <w:sz w:val="28"/>
          <w:szCs w:val="28"/>
          <w:u w:val="single"/>
        </w:rPr>
        <w:t>Equality Objectives: Year 1 deliverables</w:t>
      </w:r>
    </w:p>
    <w:p w14:paraId="7FC9B95C" w14:textId="5DF906A3" w:rsidR="000C7233" w:rsidRPr="0022549A" w:rsidRDefault="00BF43AB" w:rsidP="0022549A">
      <w:pPr>
        <w:spacing w:line="264" w:lineRule="auto"/>
        <w:rPr>
          <w:rFonts w:ascii="Arial" w:hAnsi="Arial" w:cs="Arial"/>
          <w:color w:val="000000" w:themeColor="text1"/>
          <w:sz w:val="24"/>
          <w:szCs w:val="24"/>
        </w:rPr>
      </w:pPr>
      <w:r w:rsidRPr="0022549A">
        <w:rPr>
          <w:rFonts w:ascii="Arial" w:hAnsi="Arial" w:cs="Arial"/>
          <w:color w:val="000000" w:themeColor="text1"/>
          <w:sz w:val="24"/>
          <w:szCs w:val="24"/>
        </w:rPr>
        <w:t>All activities with a current RAG rating of Amber have plans in place</w:t>
      </w:r>
      <w:r w:rsidR="00512E16" w:rsidRPr="0022549A">
        <w:rPr>
          <w:rFonts w:ascii="Arial" w:hAnsi="Arial" w:cs="Arial"/>
          <w:color w:val="000000" w:themeColor="text1"/>
          <w:sz w:val="24"/>
          <w:szCs w:val="24"/>
        </w:rPr>
        <w:t xml:space="preserve">. It should be noted that we are only </w:t>
      </w:r>
      <w:r w:rsidR="00984868" w:rsidRPr="0022549A">
        <w:rPr>
          <w:rFonts w:ascii="Arial" w:hAnsi="Arial" w:cs="Arial"/>
          <w:color w:val="000000" w:themeColor="text1"/>
          <w:sz w:val="24"/>
          <w:szCs w:val="24"/>
        </w:rPr>
        <w:t>4 months into delivery, so some activities have not started yet</w:t>
      </w:r>
      <w:r w:rsidR="0022549A" w:rsidRPr="0022549A">
        <w:rPr>
          <w:rFonts w:ascii="Arial" w:hAnsi="Arial" w:cs="Arial"/>
          <w:color w:val="000000" w:themeColor="text1"/>
          <w:sz w:val="24"/>
          <w:szCs w:val="24"/>
        </w:rPr>
        <w:t xml:space="preserve"> and others are in early stages of delivery.</w:t>
      </w:r>
    </w:p>
    <w:tbl>
      <w:tblPr>
        <w:tblW w:w="14772" w:type="dxa"/>
        <w:tblInd w:w="-1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20" w:firstRow="1" w:lastRow="0" w:firstColumn="0" w:lastColumn="0" w:noHBand="0" w:noVBand="1"/>
      </w:tblPr>
      <w:tblGrid>
        <w:gridCol w:w="3918"/>
        <w:gridCol w:w="8904"/>
        <w:gridCol w:w="1950"/>
      </w:tblGrid>
      <w:tr w:rsidR="00F405CE" w:rsidRPr="0032430A" w14:paraId="3C4CF009" w14:textId="77777777" w:rsidTr="00E877EC">
        <w:trPr>
          <w:trHeight w:val="635"/>
        </w:trPr>
        <w:tc>
          <w:tcPr>
            <w:tcW w:w="14772" w:type="dxa"/>
            <w:gridSpan w:val="3"/>
            <w:shd w:val="clear" w:color="auto" w:fill="auto"/>
            <w:tcMar>
              <w:top w:w="72" w:type="dxa"/>
              <w:left w:w="144" w:type="dxa"/>
              <w:bottom w:w="72" w:type="dxa"/>
              <w:right w:w="144" w:type="dxa"/>
            </w:tcMar>
          </w:tcPr>
          <w:p w14:paraId="0BFE77F7" w14:textId="418A1D98" w:rsidR="007214BB" w:rsidRPr="0032430A" w:rsidRDefault="00467DC6" w:rsidP="00245060">
            <w:pPr>
              <w:pStyle w:val="Heading1"/>
              <w:numPr>
                <w:ilvl w:val="0"/>
                <w:numId w:val="13"/>
              </w:numPr>
              <w:spacing w:line="420" w:lineRule="atLeast"/>
              <w:rPr>
                <w:rFonts w:ascii="Arial" w:eastAsia="Times New Roman" w:hAnsi="Arial" w:cs="Arial"/>
                <w:color w:val="auto"/>
                <w:sz w:val="24"/>
                <w:szCs w:val="24"/>
                <w:lang w:eastAsia="en-GB"/>
              </w:rPr>
            </w:pPr>
            <w:r w:rsidRPr="0032430A">
              <w:rPr>
                <w:rFonts w:ascii="Arial" w:hAnsi="Arial" w:cs="Arial"/>
                <w:b/>
                <w:bCs/>
                <w:color w:val="auto"/>
                <w:sz w:val="28"/>
                <w:szCs w:val="28"/>
              </w:rPr>
              <w:t>Amplifying the voices of people more likely to have a poorer experience of care or have difficulty accessing care</w:t>
            </w:r>
          </w:p>
        </w:tc>
      </w:tr>
      <w:tr w:rsidR="00F405CE" w:rsidRPr="0032430A" w14:paraId="1F150F85" w14:textId="77777777" w:rsidTr="00E45B7D">
        <w:trPr>
          <w:trHeight w:val="635"/>
        </w:trPr>
        <w:tc>
          <w:tcPr>
            <w:tcW w:w="3918" w:type="dxa"/>
            <w:shd w:val="clear" w:color="auto" w:fill="auto"/>
            <w:tcMar>
              <w:top w:w="72" w:type="dxa"/>
              <w:left w:w="144" w:type="dxa"/>
              <w:bottom w:w="72" w:type="dxa"/>
              <w:right w:w="144" w:type="dxa"/>
            </w:tcMar>
          </w:tcPr>
          <w:p w14:paraId="0989360A" w14:textId="52B8504B" w:rsidR="00E877EC" w:rsidRPr="0032430A" w:rsidRDefault="00E877EC" w:rsidP="00D53460">
            <w:pPr>
              <w:tabs>
                <w:tab w:val="left" w:pos="413"/>
              </w:tabs>
              <w:spacing w:after="0" w:line="240" w:lineRule="auto"/>
              <w:rPr>
                <w:rFonts w:ascii="Arial" w:eastAsia="MS PGothic" w:hAnsi="Arial" w:cs="Arial"/>
                <w:b/>
                <w:bCs/>
                <w:kern w:val="24"/>
                <w:sz w:val="24"/>
                <w:szCs w:val="24"/>
                <w:lang w:val="en-US" w:eastAsia="en-GB"/>
              </w:rPr>
            </w:pPr>
            <w:r w:rsidRPr="0032430A">
              <w:rPr>
                <w:rFonts w:ascii="Arial" w:eastAsia="MS PGothic" w:hAnsi="Arial" w:cs="Arial"/>
                <w:b/>
                <w:bCs/>
                <w:kern w:val="24"/>
                <w:sz w:val="24"/>
                <w:szCs w:val="24"/>
                <w:lang w:val="en-US" w:eastAsia="en-GB"/>
              </w:rPr>
              <w:t>Activity</w:t>
            </w:r>
          </w:p>
        </w:tc>
        <w:tc>
          <w:tcPr>
            <w:tcW w:w="8904" w:type="dxa"/>
            <w:shd w:val="clear" w:color="auto" w:fill="auto"/>
            <w:tcMar>
              <w:top w:w="72" w:type="dxa"/>
              <w:left w:w="144" w:type="dxa"/>
              <w:bottom w:w="72" w:type="dxa"/>
              <w:right w:w="144" w:type="dxa"/>
            </w:tcMar>
          </w:tcPr>
          <w:p w14:paraId="6FEAE1E4" w14:textId="47C88248" w:rsidR="00E877EC" w:rsidRPr="0032430A" w:rsidRDefault="00E877EC" w:rsidP="00E877EC">
            <w:pPr>
              <w:ind w:left="994"/>
              <w:contextualSpacing/>
              <w:rPr>
                <w:rFonts w:ascii="Arial" w:eastAsia="MS PGothic" w:hAnsi="Arial" w:cs="Arial"/>
                <w:b/>
                <w:bCs/>
                <w:kern w:val="24"/>
                <w:sz w:val="24"/>
                <w:szCs w:val="24"/>
              </w:rPr>
            </w:pPr>
            <w:r w:rsidRPr="0032430A">
              <w:rPr>
                <w:rFonts w:ascii="Arial" w:eastAsia="MS PGothic" w:hAnsi="Arial" w:cs="Arial"/>
                <w:b/>
                <w:bCs/>
                <w:kern w:val="24"/>
                <w:sz w:val="24"/>
                <w:szCs w:val="24"/>
              </w:rPr>
              <w:t>Deliverables 2022/23</w:t>
            </w:r>
          </w:p>
        </w:tc>
        <w:tc>
          <w:tcPr>
            <w:tcW w:w="1950" w:type="dxa"/>
            <w:shd w:val="clear" w:color="auto" w:fill="FFFFFF" w:themeFill="background1"/>
            <w:tcMar>
              <w:top w:w="72" w:type="dxa"/>
              <w:left w:w="144" w:type="dxa"/>
              <w:bottom w:w="72" w:type="dxa"/>
              <w:right w:w="144" w:type="dxa"/>
            </w:tcMar>
          </w:tcPr>
          <w:p w14:paraId="20E8D3E1" w14:textId="2D58AA32" w:rsidR="00E877EC" w:rsidRPr="0032430A" w:rsidRDefault="00E877EC" w:rsidP="00E877EC">
            <w:pPr>
              <w:tabs>
                <w:tab w:val="left" w:pos="413"/>
              </w:tabs>
              <w:spacing w:after="0" w:line="240" w:lineRule="auto"/>
              <w:contextualSpacing/>
              <w:rPr>
                <w:rFonts w:ascii="Arial" w:eastAsia="Times New Roman" w:hAnsi="Arial" w:cs="Arial"/>
                <w:b/>
                <w:bCs/>
                <w:sz w:val="24"/>
                <w:szCs w:val="24"/>
                <w:lang w:eastAsia="en-GB"/>
              </w:rPr>
            </w:pPr>
            <w:r w:rsidRPr="0032430A">
              <w:rPr>
                <w:rFonts w:ascii="Arial" w:eastAsia="Times New Roman" w:hAnsi="Arial" w:cs="Arial"/>
                <w:b/>
                <w:bCs/>
                <w:sz w:val="24"/>
                <w:szCs w:val="24"/>
                <w:lang w:eastAsia="en-GB"/>
              </w:rPr>
              <w:t>RAG rating July 2022</w:t>
            </w:r>
          </w:p>
        </w:tc>
      </w:tr>
      <w:tr w:rsidR="00F405CE" w:rsidRPr="0032430A" w14:paraId="4498BBC7" w14:textId="77777777" w:rsidTr="00E45B7D">
        <w:trPr>
          <w:trHeight w:val="635"/>
        </w:trPr>
        <w:tc>
          <w:tcPr>
            <w:tcW w:w="3918" w:type="dxa"/>
            <w:vMerge w:val="restart"/>
            <w:shd w:val="clear" w:color="auto" w:fill="auto"/>
            <w:tcMar>
              <w:top w:w="72" w:type="dxa"/>
              <w:left w:w="144" w:type="dxa"/>
              <w:bottom w:w="72" w:type="dxa"/>
              <w:right w:w="144" w:type="dxa"/>
            </w:tcMar>
          </w:tcPr>
          <w:p w14:paraId="7E39D7BE" w14:textId="0339FD99" w:rsidR="006311B9" w:rsidRPr="0032430A" w:rsidRDefault="006311B9" w:rsidP="00D53460">
            <w:pPr>
              <w:tabs>
                <w:tab w:val="left" w:pos="413"/>
              </w:tabs>
              <w:spacing w:after="0" w:line="240" w:lineRule="auto"/>
              <w:rPr>
                <w:rFonts w:ascii="Arial" w:eastAsia="MS PGothic" w:hAnsi="Arial" w:cs="Arial"/>
                <w:kern w:val="24"/>
                <w:sz w:val="24"/>
                <w:szCs w:val="24"/>
                <w:lang w:eastAsia="en-GB"/>
              </w:rPr>
            </w:pPr>
            <w:r w:rsidRPr="0032430A">
              <w:rPr>
                <w:rFonts w:ascii="Arial" w:eastAsia="MS PGothic" w:hAnsi="Arial" w:cs="Arial"/>
                <w:kern w:val="24"/>
                <w:sz w:val="24"/>
                <w:szCs w:val="24"/>
                <w:lang w:val="en-US" w:eastAsia="en-GB"/>
              </w:rPr>
              <w:t xml:space="preserve">Increasing range of </w:t>
            </w:r>
            <w:r w:rsidR="003059BE" w:rsidRPr="0032430A">
              <w:rPr>
                <w:rFonts w:ascii="Arial" w:eastAsia="MS PGothic" w:hAnsi="Arial" w:cs="Arial"/>
                <w:kern w:val="24"/>
                <w:sz w:val="24"/>
                <w:szCs w:val="24"/>
                <w:lang w:val="en-US" w:eastAsia="en-GB"/>
              </w:rPr>
              <w:t>feedback</w:t>
            </w:r>
            <w:r w:rsidRPr="0032430A">
              <w:rPr>
                <w:rFonts w:ascii="Arial" w:eastAsia="MS PGothic" w:hAnsi="Arial" w:cs="Arial"/>
                <w:kern w:val="24"/>
                <w:sz w:val="24"/>
                <w:szCs w:val="24"/>
                <w:lang w:val="en-US" w:eastAsia="en-GB"/>
              </w:rPr>
              <w:t xml:space="preserve"> we receive</w:t>
            </w:r>
            <w:r w:rsidR="00494BFD" w:rsidRPr="0032430A">
              <w:rPr>
                <w:rFonts w:ascii="Arial" w:eastAsia="MS PGothic" w:hAnsi="Arial" w:cs="Arial"/>
                <w:kern w:val="24"/>
                <w:sz w:val="24"/>
                <w:szCs w:val="24"/>
                <w:lang w:val="en-US" w:eastAsia="en-GB"/>
              </w:rPr>
              <w:t xml:space="preserve"> </w:t>
            </w:r>
            <w:r w:rsidR="001C1581" w:rsidRPr="0032430A">
              <w:rPr>
                <w:rFonts w:ascii="Arial" w:eastAsia="MS PGothic" w:hAnsi="Arial" w:cs="Arial"/>
                <w:kern w:val="24"/>
                <w:sz w:val="24"/>
                <w:szCs w:val="24"/>
                <w:lang w:val="en-US" w:eastAsia="en-GB"/>
              </w:rPr>
              <w:t>from people more likely to have poor</w:t>
            </w:r>
            <w:r w:rsidR="000769C8" w:rsidRPr="0032430A">
              <w:rPr>
                <w:rFonts w:ascii="Arial" w:eastAsia="MS PGothic" w:hAnsi="Arial" w:cs="Arial"/>
                <w:kern w:val="24"/>
                <w:sz w:val="24"/>
                <w:szCs w:val="24"/>
                <w:lang w:val="en-US" w:eastAsia="en-GB"/>
              </w:rPr>
              <w:t xml:space="preserve"> care or have difficulty accessing care</w:t>
            </w:r>
          </w:p>
          <w:p w14:paraId="391A7D93" w14:textId="77777777" w:rsidR="006311B9" w:rsidRPr="0032430A" w:rsidRDefault="006311B9" w:rsidP="00D53460">
            <w:pPr>
              <w:tabs>
                <w:tab w:val="left" w:pos="413"/>
              </w:tabs>
              <w:spacing w:after="0" w:line="240" w:lineRule="auto"/>
              <w:rPr>
                <w:rFonts w:ascii="Arial" w:eastAsia="MS PGothic" w:hAnsi="Arial" w:cs="Arial"/>
                <w:kern w:val="24"/>
                <w:sz w:val="24"/>
                <w:szCs w:val="24"/>
                <w:lang w:val="en-US" w:eastAsia="en-GB"/>
              </w:rPr>
            </w:pPr>
          </w:p>
        </w:tc>
        <w:tc>
          <w:tcPr>
            <w:tcW w:w="8904" w:type="dxa"/>
            <w:shd w:val="clear" w:color="auto" w:fill="auto"/>
            <w:tcMar>
              <w:top w:w="72" w:type="dxa"/>
              <w:left w:w="144" w:type="dxa"/>
              <w:bottom w:w="72" w:type="dxa"/>
              <w:right w:w="144" w:type="dxa"/>
            </w:tcMar>
          </w:tcPr>
          <w:p w14:paraId="485053AF" w14:textId="3CB77212" w:rsidR="006311B9" w:rsidRPr="0032430A" w:rsidRDefault="006311B9" w:rsidP="002906E1">
            <w:pPr>
              <w:ind w:left="634"/>
              <w:contextualSpacing/>
              <w:rPr>
                <w:rFonts w:ascii="Arial" w:eastAsia="MS PGothic" w:hAnsi="Arial" w:cs="Arial"/>
                <w:kern w:val="24"/>
                <w:sz w:val="24"/>
                <w:szCs w:val="24"/>
              </w:rPr>
            </w:pPr>
            <w:r w:rsidRPr="0032430A">
              <w:rPr>
                <w:rFonts w:ascii="Arial" w:eastAsia="MS PGothic" w:hAnsi="Arial" w:cs="Arial"/>
                <w:kern w:val="24"/>
                <w:sz w:val="24"/>
                <w:szCs w:val="24"/>
              </w:rPr>
              <w:t xml:space="preserve">Continue developing equality monitoring across information collection from people and how we can disaggregate this </w:t>
            </w:r>
          </w:p>
        </w:tc>
        <w:tc>
          <w:tcPr>
            <w:tcW w:w="1950" w:type="dxa"/>
            <w:shd w:val="clear" w:color="auto" w:fill="FFC000"/>
            <w:tcMar>
              <w:top w:w="72" w:type="dxa"/>
              <w:left w:w="144" w:type="dxa"/>
              <w:bottom w:w="72" w:type="dxa"/>
              <w:right w:w="144" w:type="dxa"/>
            </w:tcMar>
          </w:tcPr>
          <w:p w14:paraId="4CA72DE6" w14:textId="5E998F37" w:rsidR="006311B9" w:rsidRPr="0032430A" w:rsidRDefault="00E45B7D" w:rsidP="00E45B7D">
            <w:pPr>
              <w:tabs>
                <w:tab w:val="left" w:pos="413"/>
              </w:tabs>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Amber</w:t>
            </w:r>
          </w:p>
        </w:tc>
      </w:tr>
      <w:tr w:rsidR="00F405CE" w:rsidRPr="0032430A" w14:paraId="171DCF3C" w14:textId="77777777" w:rsidTr="00E45B7D">
        <w:trPr>
          <w:trHeight w:val="635"/>
        </w:trPr>
        <w:tc>
          <w:tcPr>
            <w:tcW w:w="3918" w:type="dxa"/>
            <w:vMerge/>
            <w:shd w:val="clear" w:color="auto" w:fill="auto"/>
            <w:tcMar>
              <w:top w:w="72" w:type="dxa"/>
              <w:left w:w="144" w:type="dxa"/>
              <w:bottom w:w="72" w:type="dxa"/>
              <w:right w:w="144" w:type="dxa"/>
            </w:tcMar>
          </w:tcPr>
          <w:p w14:paraId="49106E2C" w14:textId="77777777" w:rsidR="006311B9" w:rsidRPr="0032430A" w:rsidRDefault="006311B9" w:rsidP="00D53460">
            <w:pPr>
              <w:tabs>
                <w:tab w:val="left" w:pos="413"/>
              </w:tabs>
              <w:spacing w:after="0" w:line="240" w:lineRule="auto"/>
              <w:rPr>
                <w:rFonts w:ascii="Arial" w:eastAsia="MS PGothic" w:hAnsi="Arial" w:cs="Arial"/>
                <w:kern w:val="24"/>
                <w:sz w:val="24"/>
                <w:szCs w:val="24"/>
                <w:lang w:val="en-US" w:eastAsia="en-GB"/>
              </w:rPr>
            </w:pPr>
          </w:p>
        </w:tc>
        <w:tc>
          <w:tcPr>
            <w:tcW w:w="8904" w:type="dxa"/>
            <w:shd w:val="clear" w:color="auto" w:fill="auto"/>
            <w:tcMar>
              <w:top w:w="72" w:type="dxa"/>
              <w:left w:w="144" w:type="dxa"/>
              <w:bottom w:w="72" w:type="dxa"/>
              <w:right w:w="144" w:type="dxa"/>
            </w:tcMar>
          </w:tcPr>
          <w:p w14:paraId="165F68BA" w14:textId="708EE9FF" w:rsidR="006311B9" w:rsidRPr="0032430A" w:rsidRDefault="006311B9" w:rsidP="002906E1">
            <w:pPr>
              <w:tabs>
                <w:tab w:val="left" w:pos="413"/>
              </w:tabs>
              <w:spacing w:after="0" w:line="240" w:lineRule="auto"/>
              <w:ind w:left="634"/>
              <w:contextualSpacing/>
              <w:rPr>
                <w:rFonts w:ascii="Arial" w:eastAsia="MS PGothic" w:hAnsi="Arial" w:cs="Arial"/>
                <w:kern w:val="24"/>
                <w:sz w:val="24"/>
                <w:szCs w:val="24"/>
                <w:lang w:val="en-US" w:eastAsia="en-GB"/>
              </w:rPr>
            </w:pPr>
            <w:r w:rsidRPr="0032430A">
              <w:rPr>
                <w:rFonts w:ascii="Arial" w:eastAsia="MS PGothic" w:hAnsi="Arial" w:cs="Arial"/>
                <w:kern w:val="24"/>
                <w:sz w:val="24"/>
                <w:szCs w:val="24"/>
              </w:rPr>
              <w:t>Further develop targeted campaigns/ activities to increase feedback from specific groups (e.g. Because we all care)</w:t>
            </w:r>
          </w:p>
        </w:tc>
        <w:tc>
          <w:tcPr>
            <w:tcW w:w="1950" w:type="dxa"/>
            <w:shd w:val="clear" w:color="auto" w:fill="92D050"/>
            <w:tcMar>
              <w:top w:w="72" w:type="dxa"/>
              <w:left w:w="144" w:type="dxa"/>
              <w:bottom w:w="72" w:type="dxa"/>
              <w:right w:w="144" w:type="dxa"/>
            </w:tcMar>
          </w:tcPr>
          <w:p w14:paraId="654159C5" w14:textId="7CD3DEF7" w:rsidR="006311B9" w:rsidRPr="0032430A" w:rsidRDefault="00E45B7D" w:rsidP="00E45B7D">
            <w:pPr>
              <w:tabs>
                <w:tab w:val="left" w:pos="413"/>
              </w:tabs>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Green</w:t>
            </w:r>
          </w:p>
        </w:tc>
      </w:tr>
      <w:tr w:rsidR="00E45B7D" w:rsidRPr="0032430A" w14:paraId="284615E7" w14:textId="77777777" w:rsidTr="00E45B7D">
        <w:trPr>
          <w:trHeight w:val="391"/>
        </w:trPr>
        <w:tc>
          <w:tcPr>
            <w:tcW w:w="3918" w:type="dxa"/>
            <w:vMerge/>
            <w:shd w:val="clear" w:color="auto" w:fill="auto"/>
            <w:tcMar>
              <w:top w:w="72" w:type="dxa"/>
              <w:left w:w="144" w:type="dxa"/>
              <w:bottom w:w="72" w:type="dxa"/>
              <w:right w:w="144" w:type="dxa"/>
            </w:tcMar>
          </w:tcPr>
          <w:p w14:paraId="397928FD" w14:textId="77777777" w:rsidR="00E45B7D" w:rsidRPr="0032430A" w:rsidRDefault="00E45B7D" w:rsidP="00E45B7D">
            <w:pPr>
              <w:tabs>
                <w:tab w:val="left" w:pos="413"/>
              </w:tabs>
              <w:spacing w:after="0" w:line="240" w:lineRule="auto"/>
              <w:rPr>
                <w:rFonts w:ascii="Arial" w:eastAsia="MS PGothic" w:hAnsi="Arial" w:cs="Arial"/>
                <w:kern w:val="24"/>
                <w:sz w:val="24"/>
                <w:szCs w:val="24"/>
                <w:lang w:val="en-US" w:eastAsia="en-GB"/>
              </w:rPr>
            </w:pPr>
          </w:p>
        </w:tc>
        <w:tc>
          <w:tcPr>
            <w:tcW w:w="8904" w:type="dxa"/>
            <w:shd w:val="clear" w:color="auto" w:fill="auto"/>
            <w:tcMar>
              <w:top w:w="72" w:type="dxa"/>
              <w:left w:w="144" w:type="dxa"/>
              <w:bottom w:w="72" w:type="dxa"/>
              <w:right w:w="144" w:type="dxa"/>
            </w:tcMar>
          </w:tcPr>
          <w:p w14:paraId="78264C58" w14:textId="35B3D0AD" w:rsidR="00E45B7D" w:rsidRPr="0032430A" w:rsidRDefault="00E45B7D" w:rsidP="00E45B7D">
            <w:pPr>
              <w:tabs>
                <w:tab w:val="left" w:pos="413"/>
              </w:tabs>
              <w:spacing w:after="0" w:line="240" w:lineRule="auto"/>
              <w:ind w:left="634"/>
              <w:contextualSpacing/>
              <w:rPr>
                <w:rFonts w:ascii="Arial" w:eastAsia="MS PGothic" w:hAnsi="Arial" w:cs="Arial"/>
                <w:kern w:val="24"/>
                <w:sz w:val="24"/>
                <w:szCs w:val="24"/>
                <w:lang w:val="en-US" w:eastAsia="en-GB"/>
              </w:rPr>
            </w:pPr>
            <w:r w:rsidRPr="0032430A">
              <w:rPr>
                <w:rFonts w:ascii="Arial" w:eastAsia="MS PGothic" w:hAnsi="Arial" w:cs="Arial"/>
                <w:kern w:val="24"/>
                <w:sz w:val="24"/>
                <w:szCs w:val="24"/>
              </w:rPr>
              <w:t xml:space="preserve">Consider additional tools needed to gather feedback from some groups </w:t>
            </w:r>
          </w:p>
        </w:tc>
        <w:tc>
          <w:tcPr>
            <w:tcW w:w="1950" w:type="dxa"/>
            <w:shd w:val="clear" w:color="auto" w:fill="92D050"/>
            <w:tcMar>
              <w:top w:w="72" w:type="dxa"/>
              <w:left w:w="144" w:type="dxa"/>
              <w:bottom w:w="72" w:type="dxa"/>
              <w:right w:w="144" w:type="dxa"/>
            </w:tcMar>
          </w:tcPr>
          <w:p w14:paraId="704BD562" w14:textId="07AF7E1A" w:rsidR="00E45B7D" w:rsidRPr="0032430A" w:rsidRDefault="00E45B7D" w:rsidP="00E45B7D">
            <w:pPr>
              <w:tabs>
                <w:tab w:val="left" w:pos="413"/>
              </w:tabs>
              <w:spacing w:after="0" w:line="240" w:lineRule="auto"/>
              <w:contextualSpacing/>
              <w:rPr>
                <w:rFonts w:ascii="Arial" w:eastAsia="Times New Roman" w:hAnsi="Arial" w:cs="Arial"/>
                <w:sz w:val="24"/>
                <w:szCs w:val="24"/>
                <w:lang w:eastAsia="en-GB"/>
              </w:rPr>
            </w:pPr>
            <w:r w:rsidRPr="00076749">
              <w:rPr>
                <w:rFonts w:ascii="Arial" w:eastAsia="Times New Roman" w:hAnsi="Arial" w:cs="Arial"/>
                <w:sz w:val="24"/>
                <w:szCs w:val="24"/>
                <w:lang w:eastAsia="en-GB"/>
              </w:rPr>
              <w:t>Green</w:t>
            </w:r>
          </w:p>
        </w:tc>
      </w:tr>
      <w:tr w:rsidR="00E45B7D" w:rsidRPr="0032430A" w14:paraId="1EDEF245" w14:textId="77777777" w:rsidTr="00E45B7D">
        <w:trPr>
          <w:trHeight w:val="635"/>
        </w:trPr>
        <w:tc>
          <w:tcPr>
            <w:tcW w:w="3918" w:type="dxa"/>
            <w:vMerge/>
            <w:shd w:val="clear" w:color="auto" w:fill="auto"/>
            <w:tcMar>
              <w:top w:w="72" w:type="dxa"/>
              <w:left w:w="144" w:type="dxa"/>
              <w:bottom w:w="72" w:type="dxa"/>
              <w:right w:w="144" w:type="dxa"/>
            </w:tcMar>
          </w:tcPr>
          <w:p w14:paraId="68682FB9" w14:textId="77777777" w:rsidR="00E45B7D" w:rsidRPr="0032430A" w:rsidRDefault="00E45B7D" w:rsidP="00E45B7D">
            <w:pPr>
              <w:tabs>
                <w:tab w:val="left" w:pos="413"/>
              </w:tabs>
              <w:spacing w:after="0" w:line="240" w:lineRule="auto"/>
              <w:rPr>
                <w:rFonts w:ascii="Arial" w:eastAsia="MS PGothic" w:hAnsi="Arial" w:cs="Arial"/>
                <w:kern w:val="24"/>
                <w:sz w:val="24"/>
                <w:szCs w:val="24"/>
                <w:lang w:val="en-US" w:eastAsia="en-GB"/>
              </w:rPr>
            </w:pPr>
          </w:p>
        </w:tc>
        <w:tc>
          <w:tcPr>
            <w:tcW w:w="8904" w:type="dxa"/>
            <w:shd w:val="clear" w:color="auto" w:fill="auto"/>
            <w:tcMar>
              <w:top w:w="72" w:type="dxa"/>
              <w:left w:w="144" w:type="dxa"/>
              <w:bottom w:w="72" w:type="dxa"/>
              <w:right w:w="144" w:type="dxa"/>
            </w:tcMar>
          </w:tcPr>
          <w:p w14:paraId="7FFBBAB9" w14:textId="4E594C32" w:rsidR="00E45B7D" w:rsidRPr="0032430A" w:rsidRDefault="00E45B7D" w:rsidP="00E45B7D">
            <w:pPr>
              <w:tabs>
                <w:tab w:val="left" w:pos="413"/>
              </w:tabs>
              <w:spacing w:after="0" w:line="240" w:lineRule="auto"/>
              <w:ind w:left="634"/>
              <w:contextualSpacing/>
              <w:rPr>
                <w:rFonts w:ascii="Arial" w:eastAsia="MS PGothic" w:hAnsi="Arial" w:cs="Arial"/>
                <w:kern w:val="24"/>
                <w:sz w:val="24"/>
                <w:szCs w:val="24"/>
                <w:lang w:val="en-US" w:eastAsia="en-GB"/>
              </w:rPr>
            </w:pPr>
            <w:r w:rsidRPr="0032430A">
              <w:rPr>
                <w:rFonts w:ascii="Arial" w:eastAsia="MS PGothic" w:hAnsi="Arial" w:cs="Arial"/>
                <w:kern w:val="24"/>
                <w:sz w:val="24"/>
                <w:szCs w:val="24"/>
              </w:rPr>
              <w:t>Develop approach and expectations for local teams in proactive outreach/ gathering of feedback from specific groups of people</w:t>
            </w:r>
          </w:p>
        </w:tc>
        <w:tc>
          <w:tcPr>
            <w:tcW w:w="1950" w:type="dxa"/>
            <w:shd w:val="clear" w:color="auto" w:fill="92D050"/>
            <w:tcMar>
              <w:top w:w="72" w:type="dxa"/>
              <w:left w:w="144" w:type="dxa"/>
              <w:bottom w:w="72" w:type="dxa"/>
              <w:right w:w="144" w:type="dxa"/>
            </w:tcMar>
          </w:tcPr>
          <w:p w14:paraId="77374856" w14:textId="72856609" w:rsidR="00E45B7D" w:rsidRPr="0032430A" w:rsidRDefault="00E45B7D" w:rsidP="00E45B7D">
            <w:pPr>
              <w:tabs>
                <w:tab w:val="left" w:pos="413"/>
              </w:tabs>
              <w:spacing w:after="0" w:line="240" w:lineRule="auto"/>
              <w:contextualSpacing/>
              <w:rPr>
                <w:rFonts w:ascii="Arial" w:eastAsia="Times New Roman" w:hAnsi="Arial" w:cs="Arial"/>
                <w:sz w:val="24"/>
                <w:szCs w:val="24"/>
                <w:lang w:eastAsia="en-GB"/>
              </w:rPr>
            </w:pPr>
            <w:r w:rsidRPr="00076749">
              <w:rPr>
                <w:rFonts w:ascii="Arial" w:eastAsia="Times New Roman" w:hAnsi="Arial" w:cs="Arial"/>
                <w:sz w:val="24"/>
                <w:szCs w:val="24"/>
                <w:lang w:eastAsia="en-GB"/>
              </w:rPr>
              <w:t>Green</w:t>
            </w:r>
          </w:p>
        </w:tc>
      </w:tr>
      <w:tr w:rsidR="00F405CE" w:rsidRPr="0032430A" w14:paraId="227C74C1" w14:textId="77777777" w:rsidTr="00E45B7D">
        <w:trPr>
          <w:trHeight w:val="635"/>
        </w:trPr>
        <w:tc>
          <w:tcPr>
            <w:tcW w:w="3918" w:type="dxa"/>
            <w:shd w:val="clear" w:color="auto" w:fill="auto"/>
            <w:tcMar>
              <w:top w:w="72" w:type="dxa"/>
              <w:left w:w="144" w:type="dxa"/>
              <w:bottom w:w="72" w:type="dxa"/>
              <w:right w:w="144" w:type="dxa"/>
            </w:tcMar>
          </w:tcPr>
          <w:p w14:paraId="3A32B9A5" w14:textId="6F057995" w:rsidR="006311B9" w:rsidRPr="0032430A" w:rsidRDefault="006311B9" w:rsidP="006311B9">
            <w:pPr>
              <w:tabs>
                <w:tab w:val="left" w:pos="413"/>
              </w:tabs>
              <w:spacing w:after="0" w:line="240" w:lineRule="auto"/>
              <w:rPr>
                <w:rFonts w:ascii="Arial" w:eastAsia="MS PGothic" w:hAnsi="Arial" w:cs="Arial"/>
                <w:kern w:val="24"/>
                <w:sz w:val="24"/>
                <w:szCs w:val="24"/>
                <w:lang w:val="en-US" w:eastAsia="en-GB"/>
              </w:rPr>
            </w:pPr>
            <w:r w:rsidRPr="0032430A">
              <w:rPr>
                <w:rFonts w:ascii="Arial" w:eastAsia="MS PGothic" w:hAnsi="Arial" w:cs="Arial"/>
                <w:kern w:val="24"/>
                <w:sz w:val="24"/>
                <w:szCs w:val="24"/>
              </w:rPr>
              <w:t>Ensuring we use feedback well and countering epistemic injustice</w:t>
            </w:r>
          </w:p>
        </w:tc>
        <w:tc>
          <w:tcPr>
            <w:tcW w:w="8904" w:type="dxa"/>
            <w:shd w:val="clear" w:color="auto" w:fill="auto"/>
            <w:tcMar>
              <w:top w:w="72" w:type="dxa"/>
              <w:left w:w="144" w:type="dxa"/>
              <w:bottom w:w="72" w:type="dxa"/>
              <w:right w:w="144" w:type="dxa"/>
            </w:tcMar>
          </w:tcPr>
          <w:p w14:paraId="4708AF88" w14:textId="2C1E1A9E" w:rsidR="006311B9" w:rsidRPr="0032430A" w:rsidRDefault="006311B9" w:rsidP="002906E1">
            <w:pPr>
              <w:tabs>
                <w:tab w:val="left" w:pos="413"/>
              </w:tabs>
              <w:spacing w:after="0" w:line="240" w:lineRule="auto"/>
              <w:ind w:left="634"/>
              <w:contextualSpacing/>
              <w:rPr>
                <w:rFonts w:ascii="Arial" w:eastAsia="MS PGothic" w:hAnsi="Arial" w:cs="Arial"/>
                <w:kern w:val="24"/>
                <w:sz w:val="24"/>
                <w:szCs w:val="24"/>
                <w:lang w:val="en-US" w:eastAsia="en-GB"/>
              </w:rPr>
            </w:pPr>
            <w:r w:rsidRPr="0032430A">
              <w:rPr>
                <w:rFonts w:ascii="Arial" w:eastAsia="MS PGothic" w:hAnsi="Arial" w:cs="Arial"/>
                <w:kern w:val="24"/>
                <w:sz w:val="24"/>
                <w:szCs w:val="24"/>
              </w:rPr>
              <w:t xml:space="preserve">Test how much feedback from people in different equality groups has an impact on our regulatory action through </w:t>
            </w:r>
            <w:r w:rsidR="00E877EC" w:rsidRPr="0032430A">
              <w:rPr>
                <w:rFonts w:ascii="Arial" w:eastAsia="MS PGothic" w:hAnsi="Arial" w:cs="Arial"/>
                <w:kern w:val="24"/>
                <w:sz w:val="24"/>
                <w:szCs w:val="24"/>
              </w:rPr>
              <w:t xml:space="preserve">Single Assessment </w:t>
            </w:r>
            <w:r w:rsidR="003059BE" w:rsidRPr="0032430A">
              <w:rPr>
                <w:rFonts w:ascii="Arial" w:eastAsia="MS PGothic" w:hAnsi="Arial" w:cs="Arial"/>
                <w:kern w:val="24"/>
                <w:sz w:val="24"/>
                <w:szCs w:val="24"/>
              </w:rPr>
              <w:t>Framework piloting</w:t>
            </w:r>
            <w:r w:rsidRPr="0032430A">
              <w:rPr>
                <w:rFonts w:ascii="Arial" w:eastAsia="MS PGothic" w:hAnsi="Arial" w:cs="Arial"/>
                <w:kern w:val="24"/>
                <w:sz w:val="24"/>
                <w:szCs w:val="24"/>
              </w:rPr>
              <w:t xml:space="preserve"> work</w:t>
            </w:r>
          </w:p>
        </w:tc>
        <w:tc>
          <w:tcPr>
            <w:tcW w:w="1950" w:type="dxa"/>
            <w:shd w:val="clear" w:color="auto" w:fill="FFFFFF" w:themeFill="background1"/>
            <w:tcMar>
              <w:top w:w="72" w:type="dxa"/>
              <w:left w:w="144" w:type="dxa"/>
              <w:bottom w:w="72" w:type="dxa"/>
              <w:right w:w="144" w:type="dxa"/>
            </w:tcMar>
          </w:tcPr>
          <w:p w14:paraId="3342BDE9" w14:textId="4A8CD8B7" w:rsidR="006311B9" w:rsidRPr="0032430A" w:rsidRDefault="00984868" w:rsidP="00AF415C">
            <w:pPr>
              <w:tabs>
                <w:tab w:val="left" w:pos="413"/>
              </w:tabs>
              <w:spacing w:after="0" w:line="240" w:lineRule="auto"/>
              <w:contextualSpacing/>
              <w:rPr>
                <w:rFonts w:ascii="Arial" w:eastAsia="Times New Roman" w:hAnsi="Arial" w:cs="Arial"/>
                <w:sz w:val="24"/>
                <w:szCs w:val="24"/>
                <w:lang w:eastAsia="en-GB"/>
              </w:rPr>
            </w:pPr>
            <w:r w:rsidRPr="0032430A">
              <w:rPr>
                <w:rFonts w:ascii="Arial" w:eastAsia="Times New Roman" w:hAnsi="Arial" w:cs="Arial"/>
                <w:sz w:val="24"/>
                <w:szCs w:val="24"/>
                <w:lang w:eastAsia="en-GB"/>
              </w:rPr>
              <w:t>Not started</w:t>
            </w:r>
            <w:r w:rsidR="00A011F1">
              <w:rPr>
                <w:rFonts w:ascii="Arial" w:eastAsia="Times New Roman" w:hAnsi="Arial" w:cs="Arial"/>
                <w:sz w:val="24"/>
                <w:szCs w:val="24"/>
                <w:lang w:eastAsia="en-GB"/>
              </w:rPr>
              <w:t xml:space="preserve"> – starting </w:t>
            </w:r>
            <w:r w:rsidR="00D75068">
              <w:rPr>
                <w:rFonts w:ascii="Arial" w:eastAsia="Times New Roman" w:hAnsi="Arial" w:cs="Arial"/>
                <w:sz w:val="24"/>
                <w:szCs w:val="24"/>
                <w:lang w:eastAsia="en-GB"/>
              </w:rPr>
              <w:t>from Sept 22</w:t>
            </w:r>
          </w:p>
        </w:tc>
      </w:tr>
      <w:tr w:rsidR="00F405CE" w:rsidRPr="0032430A" w14:paraId="1C03ED55" w14:textId="77777777" w:rsidTr="00E45B7D">
        <w:trPr>
          <w:trHeight w:val="635"/>
        </w:trPr>
        <w:tc>
          <w:tcPr>
            <w:tcW w:w="3918" w:type="dxa"/>
            <w:shd w:val="clear" w:color="auto" w:fill="auto"/>
            <w:tcMar>
              <w:top w:w="72" w:type="dxa"/>
              <w:left w:w="144" w:type="dxa"/>
              <w:bottom w:w="72" w:type="dxa"/>
              <w:right w:w="144" w:type="dxa"/>
            </w:tcMar>
          </w:tcPr>
          <w:p w14:paraId="46141C7D" w14:textId="158C78E8" w:rsidR="002E3E21" w:rsidRPr="0032430A" w:rsidRDefault="00A0310F" w:rsidP="006079B0">
            <w:pPr>
              <w:tabs>
                <w:tab w:val="left" w:pos="413"/>
              </w:tabs>
              <w:spacing w:after="0" w:line="240" w:lineRule="auto"/>
              <w:rPr>
                <w:rFonts w:ascii="Arial" w:eastAsia="MS PGothic" w:hAnsi="Arial" w:cs="Arial"/>
                <w:kern w:val="24"/>
                <w:sz w:val="24"/>
                <w:szCs w:val="24"/>
                <w:lang w:eastAsia="en-GB"/>
              </w:rPr>
            </w:pPr>
            <w:r w:rsidRPr="0032430A">
              <w:rPr>
                <w:rFonts w:ascii="Arial" w:eastAsia="MS PGothic" w:hAnsi="Arial" w:cs="Arial"/>
                <w:kern w:val="24"/>
                <w:sz w:val="24"/>
                <w:szCs w:val="24"/>
                <w:lang w:eastAsia="en-GB"/>
              </w:rPr>
              <w:t>Encouraging providers and local systems to respond to people more likely to have poor care</w:t>
            </w:r>
          </w:p>
        </w:tc>
        <w:tc>
          <w:tcPr>
            <w:tcW w:w="8904" w:type="dxa"/>
            <w:shd w:val="clear" w:color="auto" w:fill="auto"/>
            <w:tcMar>
              <w:top w:w="72" w:type="dxa"/>
              <w:left w:w="144" w:type="dxa"/>
              <w:bottom w:w="72" w:type="dxa"/>
              <w:right w:w="144" w:type="dxa"/>
            </w:tcMar>
          </w:tcPr>
          <w:p w14:paraId="64EA8896" w14:textId="246473B3" w:rsidR="00467DC6" w:rsidRPr="0032430A" w:rsidRDefault="00467DC6" w:rsidP="002906E1">
            <w:pPr>
              <w:ind w:left="634"/>
              <w:rPr>
                <w:rFonts w:ascii="Arial" w:eastAsia="MS PGothic" w:hAnsi="Arial" w:cs="Arial"/>
                <w:kern w:val="24"/>
                <w:sz w:val="24"/>
                <w:szCs w:val="24"/>
                <w:lang w:eastAsia="en-GB"/>
              </w:rPr>
            </w:pPr>
            <w:r w:rsidRPr="0032430A">
              <w:rPr>
                <w:rFonts w:ascii="Arial" w:eastAsia="MS PGothic" w:hAnsi="Arial" w:cs="Arial"/>
                <w:kern w:val="24"/>
                <w:sz w:val="24"/>
                <w:szCs w:val="24"/>
                <w:lang w:val="en-US" w:eastAsia="en-GB"/>
              </w:rPr>
              <w:t xml:space="preserve"> </w:t>
            </w:r>
            <w:r w:rsidRPr="0032430A">
              <w:rPr>
                <w:rFonts w:ascii="Arial" w:eastAsia="MS PGothic" w:hAnsi="Arial" w:cs="Arial"/>
                <w:kern w:val="24"/>
                <w:sz w:val="24"/>
                <w:szCs w:val="24"/>
                <w:lang w:eastAsia="en-GB"/>
              </w:rPr>
              <w:t xml:space="preserve">Test through </w:t>
            </w:r>
            <w:r w:rsidR="00E877EC" w:rsidRPr="0032430A">
              <w:rPr>
                <w:rFonts w:ascii="Arial" w:eastAsia="MS PGothic" w:hAnsi="Arial" w:cs="Arial"/>
                <w:kern w:val="24"/>
                <w:sz w:val="24"/>
                <w:szCs w:val="24"/>
                <w:lang w:eastAsia="en-GB"/>
              </w:rPr>
              <w:t xml:space="preserve">Single Assessment Framework piloting </w:t>
            </w:r>
            <w:r w:rsidR="00030E9D" w:rsidRPr="0032430A">
              <w:rPr>
                <w:rFonts w:ascii="Arial" w:eastAsia="MS PGothic" w:hAnsi="Arial" w:cs="Arial"/>
                <w:kern w:val="24"/>
                <w:sz w:val="24"/>
                <w:szCs w:val="24"/>
                <w:lang w:eastAsia="en-GB"/>
              </w:rPr>
              <w:t>work</w:t>
            </w:r>
          </w:p>
          <w:p w14:paraId="0C95CA05" w14:textId="0220C0C5" w:rsidR="002E3E21" w:rsidRPr="0032430A" w:rsidRDefault="00467DC6" w:rsidP="00494BFD">
            <w:pPr>
              <w:tabs>
                <w:tab w:val="left" w:pos="413"/>
              </w:tabs>
              <w:spacing w:after="0" w:line="240" w:lineRule="auto"/>
              <w:ind w:left="634"/>
              <w:contextualSpacing/>
              <w:rPr>
                <w:rFonts w:ascii="Arial" w:eastAsia="MS PGothic" w:hAnsi="Arial" w:cs="Arial"/>
                <w:kern w:val="24"/>
                <w:sz w:val="24"/>
                <w:szCs w:val="24"/>
                <w:lang w:eastAsia="en-GB"/>
              </w:rPr>
            </w:pPr>
            <w:r w:rsidRPr="0032430A">
              <w:rPr>
                <w:rFonts w:ascii="Arial" w:eastAsia="MS PGothic" w:hAnsi="Arial" w:cs="Arial"/>
                <w:kern w:val="24"/>
                <w:sz w:val="24"/>
                <w:szCs w:val="24"/>
                <w:lang w:eastAsia="en-GB"/>
              </w:rPr>
              <w:t>Consider communications to raise expectations</w:t>
            </w:r>
          </w:p>
        </w:tc>
        <w:tc>
          <w:tcPr>
            <w:tcW w:w="1950" w:type="dxa"/>
            <w:shd w:val="clear" w:color="auto" w:fill="92D050"/>
            <w:tcMar>
              <w:top w:w="72" w:type="dxa"/>
              <w:left w:w="144" w:type="dxa"/>
              <w:bottom w:w="72" w:type="dxa"/>
              <w:right w:w="144" w:type="dxa"/>
            </w:tcMar>
          </w:tcPr>
          <w:p w14:paraId="6973D6CA" w14:textId="63832412" w:rsidR="002E3E21" w:rsidRPr="0032430A" w:rsidRDefault="00E45B7D" w:rsidP="00F405CE">
            <w:pPr>
              <w:tabs>
                <w:tab w:val="left" w:pos="413"/>
              </w:tabs>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Green</w:t>
            </w:r>
          </w:p>
        </w:tc>
      </w:tr>
    </w:tbl>
    <w:p w14:paraId="138F3BCD" w14:textId="77777777" w:rsidR="00E45B7D" w:rsidRDefault="00E45B7D">
      <w:r>
        <w:br w:type="page"/>
      </w:r>
    </w:p>
    <w:tbl>
      <w:tblPr>
        <w:tblW w:w="14772" w:type="dxa"/>
        <w:tblInd w:w="-1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20" w:firstRow="1" w:lastRow="0" w:firstColumn="0" w:lastColumn="0" w:noHBand="0" w:noVBand="1"/>
      </w:tblPr>
      <w:tblGrid>
        <w:gridCol w:w="3918"/>
        <w:gridCol w:w="8904"/>
        <w:gridCol w:w="1950"/>
      </w:tblGrid>
      <w:tr w:rsidR="00F405CE" w:rsidRPr="0032430A" w14:paraId="79A0519E" w14:textId="77777777" w:rsidTr="05A74CAE">
        <w:trPr>
          <w:trHeight w:val="635"/>
        </w:trPr>
        <w:tc>
          <w:tcPr>
            <w:tcW w:w="14772" w:type="dxa"/>
            <w:gridSpan w:val="3"/>
            <w:shd w:val="clear" w:color="auto" w:fill="auto"/>
            <w:tcMar>
              <w:top w:w="72" w:type="dxa"/>
              <w:left w:w="144" w:type="dxa"/>
              <w:bottom w:w="72" w:type="dxa"/>
              <w:right w:w="144" w:type="dxa"/>
            </w:tcMar>
          </w:tcPr>
          <w:p w14:paraId="671334DC" w14:textId="390BC4F2" w:rsidR="00467DC6" w:rsidRPr="0032430A" w:rsidRDefault="00467DC6" w:rsidP="00245060">
            <w:pPr>
              <w:pStyle w:val="ListParagraph"/>
              <w:numPr>
                <w:ilvl w:val="0"/>
                <w:numId w:val="13"/>
              </w:numPr>
              <w:spacing w:line="264" w:lineRule="auto"/>
              <w:rPr>
                <w:rFonts w:ascii="Arial" w:hAnsi="Arial" w:cs="Arial"/>
                <w:b/>
                <w:bCs/>
                <w:sz w:val="28"/>
                <w:szCs w:val="28"/>
              </w:rPr>
            </w:pPr>
            <w:r w:rsidRPr="0032430A">
              <w:rPr>
                <w:rFonts w:ascii="Arial" w:hAnsi="Arial" w:cs="Arial"/>
                <w:b/>
                <w:bCs/>
                <w:sz w:val="28"/>
                <w:szCs w:val="28"/>
              </w:rPr>
              <w:lastRenderedPageBreak/>
              <w:t>Using data to understand and respond to equality risks</w:t>
            </w:r>
          </w:p>
          <w:p w14:paraId="14ED9601" w14:textId="77777777" w:rsidR="00467DC6" w:rsidRPr="0032430A" w:rsidRDefault="00467DC6" w:rsidP="00502EAC">
            <w:pPr>
              <w:tabs>
                <w:tab w:val="left" w:pos="413"/>
              </w:tabs>
              <w:spacing w:after="0" w:line="240" w:lineRule="auto"/>
              <w:ind w:left="994"/>
              <w:contextualSpacing/>
              <w:rPr>
                <w:rFonts w:ascii="Arial" w:eastAsia="Times New Roman" w:hAnsi="Arial" w:cs="Arial"/>
                <w:sz w:val="24"/>
                <w:szCs w:val="24"/>
                <w:lang w:eastAsia="en-GB"/>
              </w:rPr>
            </w:pPr>
          </w:p>
        </w:tc>
      </w:tr>
      <w:tr w:rsidR="00F405CE" w:rsidRPr="0032430A" w14:paraId="389C9F33" w14:textId="77777777" w:rsidTr="05A74CAE">
        <w:trPr>
          <w:trHeight w:val="635"/>
        </w:trPr>
        <w:tc>
          <w:tcPr>
            <w:tcW w:w="3918" w:type="dxa"/>
            <w:shd w:val="clear" w:color="auto" w:fill="auto"/>
            <w:tcMar>
              <w:top w:w="72" w:type="dxa"/>
              <w:left w:w="144" w:type="dxa"/>
              <w:bottom w:w="72" w:type="dxa"/>
              <w:right w:w="144" w:type="dxa"/>
            </w:tcMar>
          </w:tcPr>
          <w:p w14:paraId="02361BA9" w14:textId="05ECC946" w:rsidR="00E877EC" w:rsidRPr="003025A2" w:rsidRDefault="00E877EC" w:rsidP="00E877EC">
            <w:pPr>
              <w:tabs>
                <w:tab w:val="left" w:pos="413"/>
              </w:tabs>
              <w:spacing w:after="0" w:line="240" w:lineRule="auto"/>
              <w:rPr>
                <w:rFonts w:ascii="Arial" w:eastAsia="MS PGothic" w:hAnsi="Arial" w:cs="Arial"/>
                <w:kern w:val="24"/>
                <w:sz w:val="24"/>
                <w:szCs w:val="24"/>
                <w:lang w:val="en-US" w:eastAsia="en-GB"/>
              </w:rPr>
            </w:pPr>
            <w:r w:rsidRPr="003025A2">
              <w:rPr>
                <w:rFonts w:ascii="Arial" w:eastAsia="MS PGothic" w:hAnsi="Arial" w:cs="Arial"/>
                <w:kern w:val="24"/>
                <w:sz w:val="24"/>
                <w:szCs w:val="24"/>
                <w:lang w:val="en-US"/>
              </w:rPr>
              <w:t>Strategic development:</w:t>
            </w:r>
          </w:p>
        </w:tc>
        <w:tc>
          <w:tcPr>
            <w:tcW w:w="8904" w:type="dxa"/>
            <w:shd w:val="clear" w:color="auto" w:fill="auto"/>
            <w:tcMar>
              <w:top w:w="72" w:type="dxa"/>
              <w:left w:w="144" w:type="dxa"/>
              <w:bottom w:w="72" w:type="dxa"/>
              <w:right w:w="144" w:type="dxa"/>
            </w:tcMar>
          </w:tcPr>
          <w:p w14:paraId="70CFD199" w14:textId="67F2354E" w:rsidR="00E877EC" w:rsidRPr="003025A2" w:rsidRDefault="00E877EC" w:rsidP="001C1581">
            <w:pPr>
              <w:tabs>
                <w:tab w:val="left" w:pos="413"/>
              </w:tabs>
              <w:spacing w:after="0" w:line="240" w:lineRule="auto"/>
              <w:ind w:left="360"/>
              <w:contextualSpacing/>
              <w:rPr>
                <w:rFonts w:ascii="Arial" w:eastAsia="MS PGothic" w:hAnsi="Arial" w:cs="Arial"/>
                <w:kern w:val="24"/>
                <w:sz w:val="24"/>
                <w:szCs w:val="24"/>
                <w:lang w:val="en-US" w:eastAsia="en-GB"/>
              </w:rPr>
            </w:pPr>
            <w:r w:rsidRPr="003025A2">
              <w:rPr>
                <w:rFonts w:ascii="Arial" w:eastAsia="MS PGothic" w:hAnsi="Arial" w:cs="Arial"/>
                <w:kern w:val="24"/>
                <w:sz w:val="24"/>
                <w:szCs w:val="24"/>
                <w:lang w:val="en-US"/>
              </w:rPr>
              <w:t>Evaluate “equity by design” approach</w:t>
            </w:r>
          </w:p>
        </w:tc>
        <w:tc>
          <w:tcPr>
            <w:tcW w:w="1950" w:type="dxa"/>
            <w:shd w:val="clear" w:color="auto" w:fill="auto"/>
            <w:tcMar>
              <w:top w:w="72" w:type="dxa"/>
              <w:left w:w="144" w:type="dxa"/>
              <w:bottom w:w="72" w:type="dxa"/>
              <w:right w:w="144" w:type="dxa"/>
            </w:tcMar>
          </w:tcPr>
          <w:p w14:paraId="6FA8C50E" w14:textId="52634ED7" w:rsidR="00E877EC" w:rsidRPr="0032430A" w:rsidRDefault="00481032" w:rsidP="00481032">
            <w:pPr>
              <w:tabs>
                <w:tab w:val="left" w:pos="413"/>
              </w:tabs>
              <w:spacing w:after="0" w:line="240" w:lineRule="auto"/>
              <w:contextualSpacing/>
              <w:rPr>
                <w:rFonts w:ascii="Arial" w:eastAsia="Times New Roman" w:hAnsi="Arial" w:cs="Arial"/>
                <w:sz w:val="24"/>
                <w:szCs w:val="24"/>
                <w:lang w:eastAsia="en-GB"/>
              </w:rPr>
            </w:pPr>
            <w:r w:rsidRPr="0032430A">
              <w:rPr>
                <w:rFonts w:ascii="Arial" w:eastAsia="Times New Roman" w:hAnsi="Arial" w:cs="Arial"/>
                <w:sz w:val="24"/>
                <w:szCs w:val="24"/>
                <w:lang w:eastAsia="en-GB"/>
              </w:rPr>
              <w:t>Not started</w:t>
            </w:r>
            <w:r w:rsidR="00A011F1">
              <w:rPr>
                <w:rFonts w:ascii="Arial" w:eastAsia="Times New Roman" w:hAnsi="Arial" w:cs="Arial"/>
                <w:sz w:val="24"/>
                <w:szCs w:val="24"/>
                <w:lang w:eastAsia="en-GB"/>
              </w:rPr>
              <w:t xml:space="preserve"> – Starting </w:t>
            </w:r>
            <w:r w:rsidR="00D75068">
              <w:rPr>
                <w:rFonts w:ascii="Arial" w:eastAsia="Times New Roman" w:hAnsi="Arial" w:cs="Arial"/>
                <w:sz w:val="24"/>
                <w:szCs w:val="24"/>
                <w:lang w:eastAsia="en-GB"/>
              </w:rPr>
              <w:t>from Sept 22</w:t>
            </w:r>
          </w:p>
        </w:tc>
      </w:tr>
      <w:tr w:rsidR="00F405CE" w:rsidRPr="0032430A" w14:paraId="4E55526C" w14:textId="77777777" w:rsidTr="05A74CAE">
        <w:trPr>
          <w:trHeight w:val="635"/>
        </w:trPr>
        <w:tc>
          <w:tcPr>
            <w:tcW w:w="3918" w:type="dxa"/>
            <w:shd w:val="clear" w:color="auto" w:fill="auto"/>
            <w:tcMar>
              <w:top w:w="72" w:type="dxa"/>
              <w:left w:w="144" w:type="dxa"/>
              <w:bottom w:w="72" w:type="dxa"/>
              <w:right w:w="144" w:type="dxa"/>
            </w:tcMar>
          </w:tcPr>
          <w:p w14:paraId="2D52BF70" w14:textId="51F3D7FD" w:rsidR="00E877EC" w:rsidRPr="003025A2" w:rsidRDefault="00E877EC" w:rsidP="00E877EC">
            <w:pPr>
              <w:tabs>
                <w:tab w:val="left" w:pos="413"/>
              </w:tabs>
              <w:spacing w:after="0" w:line="240" w:lineRule="auto"/>
              <w:rPr>
                <w:rFonts w:ascii="Arial" w:eastAsia="MS PGothic" w:hAnsi="Arial" w:cs="Arial"/>
                <w:kern w:val="24"/>
                <w:sz w:val="24"/>
                <w:szCs w:val="24"/>
                <w:lang w:val="en-US" w:eastAsia="en-GB"/>
              </w:rPr>
            </w:pPr>
            <w:r w:rsidRPr="003025A2">
              <w:rPr>
                <w:rFonts w:ascii="Arial" w:eastAsia="MS PGothic" w:hAnsi="Arial" w:cs="Arial"/>
                <w:kern w:val="24"/>
                <w:sz w:val="24"/>
                <w:szCs w:val="24"/>
              </w:rPr>
              <w:t>Testing and building data requirements</w:t>
            </w:r>
          </w:p>
        </w:tc>
        <w:tc>
          <w:tcPr>
            <w:tcW w:w="8904" w:type="dxa"/>
            <w:shd w:val="clear" w:color="auto" w:fill="auto"/>
            <w:tcMar>
              <w:top w:w="72" w:type="dxa"/>
              <w:left w:w="144" w:type="dxa"/>
              <w:bottom w:w="72" w:type="dxa"/>
              <w:right w:w="144" w:type="dxa"/>
            </w:tcMar>
          </w:tcPr>
          <w:p w14:paraId="5A86F2A5" w14:textId="12B1D8E8" w:rsidR="00E877EC" w:rsidRPr="003025A2" w:rsidRDefault="00E877EC" w:rsidP="001C1581">
            <w:pPr>
              <w:tabs>
                <w:tab w:val="left" w:pos="413"/>
              </w:tabs>
              <w:spacing w:after="0" w:line="240" w:lineRule="auto"/>
              <w:ind w:left="360"/>
              <w:contextualSpacing/>
              <w:rPr>
                <w:rFonts w:ascii="Arial" w:eastAsia="MS PGothic" w:hAnsi="Arial" w:cs="Arial"/>
                <w:kern w:val="24"/>
                <w:sz w:val="24"/>
                <w:szCs w:val="24"/>
                <w:lang w:val="en-US" w:eastAsia="en-GB"/>
              </w:rPr>
            </w:pPr>
            <w:r w:rsidRPr="003025A2">
              <w:rPr>
                <w:rFonts w:ascii="Arial" w:eastAsia="MS PGothic" w:hAnsi="Arial" w:cs="Arial"/>
                <w:kern w:val="24"/>
                <w:sz w:val="24"/>
                <w:szCs w:val="24"/>
                <w:lang w:val="en-US"/>
              </w:rPr>
              <w:t>Build equality risks data required evidence for providers, ICSs and LAA for single assessment framework and test as part of regulatory model development</w:t>
            </w:r>
          </w:p>
        </w:tc>
        <w:tc>
          <w:tcPr>
            <w:tcW w:w="1950" w:type="dxa"/>
            <w:shd w:val="clear" w:color="auto" w:fill="92D050"/>
            <w:tcMar>
              <w:top w:w="72" w:type="dxa"/>
              <w:left w:w="144" w:type="dxa"/>
              <w:bottom w:w="72" w:type="dxa"/>
              <w:right w:w="144" w:type="dxa"/>
            </w:tcMar>
          </w:tcPr>
          <w:p w14:paraId="06177E4F" w14:textId="6E37CD17" w:rsidR="00E877EC" w:rsidRPr="0032430A" w:rsidRDefault="00E45B7D" w:rsidP="00E45B7D">
            <w:pPr>
              <w:tabs>
                <w:tab w:val="left" w:pos="413"/>
              </w:tabs>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Green</w:t>
            </w:r>
          </w:p>
        </w:tc>
      </w:tr>
      <w:tr w:rsidR="00F405CE" w:rsidRPr="0032430A" w14:paraId="3B73F064" w14:textId="77777777" w:rsidTr="05A74CAE">
        <w:trPr>
          <w:trHeight w:val="635"/>
        </w:trPr>
        <w:tc>
          <w:tcPr>
            <w:tcW w:w="3918" w:type="dxa"/>
            <w:shd w:val="clear" w:color="auto" w:fill="auto"/>
            <w:tcMar>
              <w:top w:w="72" w:type="dxa"/>
              <w:left w:w="144" w:type="dxa"/>
              <w:bottom w:w="72" w:type="dxa"/>
              <w:right w:w="144" w:type="dxa"/>
            </w:tcMar>
          </w:tcPr>
          <w:p w14:paraId="75D46505" w14:textId="4BDB0782" w:rsidR="00E877EC" w:rsidRPr="003025A2" w:rsidRDefault="00E877EC" w:rsidP="00E877EC">
            <w:pPr>
              <w:tabs>
                <w:tab w:val="left" w:pos="413"/>
              </w:tabs>
              <w:spacing w:after="0" w:line="240" w:lineRule="auto"/>
              <w:rPr>
                <w:rFonts w:ascii="Arial" w:eastAsia="MS PGothic" w:hAnsi="Arial" w:cs="Arial"/>
                <w:kern w:val="24"/>
                <w:sz w:val="24"/>
                <w:szCs w:val="24"/>
                <w:lang w:val="en-US" w:eastAsia="en-GB"/>
              </w:rPr>
            </w:pPr>
            <w:r w:rsidRPr="003025A2">
              <w:rPr>
                <w:rFonts w:ascii="Arial" w:eastAsia="MS PGothic" w:hAnsi="Arial" w:cs="Arial"/>
                <w:kern w:val="24"/>
                <w:sz w:val="24"/>
                <w:szCs w:val="24"/>
              </w:rPr>
              <w:t>Hearing from frontline staff in providers about equality</w:t>
            </w:r>
          </w:p>
        </w:tc>
        <w:tc>
          <w:tcPr>
            <w:tcW w:w="8904" w:type="dxa"/>
            <w:shd w:val="clear" w:color="auto" w:fill="auto"/>
            <w:tcMar>
              <w:top w:w="72" w:type="dxa"/>
              <w:left w:w="144" w:type="dxa"/>
              <w:bottom w:w="72" w:type="dxa"/>
              <w:right w:w="144" w:type="dxa"/>
            </w:tcMar>
          </w:tcPr>
          <w:p w14:paraId="70347417" w14:textId="2CBBEE27" w:rsidR="00E877EC" w:rsidRPr="003025A2" w:rsidRDefault="00E877EC" w:rsidP="001C1581">
            <w:pPr>
              <w:tabs>
                <w:tab w:val="left" w:pos="413"/>
              </w:tabs>
              <w:spacing w:after="0" w:line="240" w:lineRule="auto"/>
              <w:ind w:left="360"/>
              <w:contextualSpacing/>
              <w:rPr>
                <w:rFonts w:ascii="Arial" w:eastAsia="MS PGothic" w:hAnsi="Arial" w:cs="Arial"/>
                <w:kern w:val="24"/>
                <w:sz w:val="24"/>
                <w:szCs w:val="24"/>
                <w:lang w:val="en-US" w:eastAsia="en-GB"/>
              </w:rPr>
            </w:pPr>
            <w:r w:rsidRPr="003025A2">
              <w:rPr>
                <w:rFonts w:ascii="Arial" w:eastAsia="MS PGothic" w:hAnsi="Arial" w:cs="Arial"/>
                <w:kern w:val="24"/>
                <w:sz w:val="24"/>
                <w:szCs w:val="24"/>
                <w:lang w:val="en-US"/>
              </w:rPr>
              <w:t>Deliver revised approach to WRES and expand to other workforce equality issues in NHS Trusts and to other sectors</w:t>
            </w:r>
          </w:p>
        </w:tc>
        <w:tc>
          <w:tcPr>
            <w:tcW w:w="1950" w:type="dxa"/>
            <w:shd w:val="clear" w:color="auto" w:fill="92D050"/>
            <w:tcMar>
              <w:top w:w="72" w:type="dxa"/>
              <w:left w:w="144" w:type="dxa"/>
              <w:bottom w:w="72" w:type="dxa"/>
              <w:right w:w="144" w:type="dxa"/>
            </w:tcMar>
          </w:tcPr>
          <w:p w14:paraId="27567930" w14:textId="6DC3E6D6" w:rsidR="00E877EC" w:rsidRPr="0032430A" w:rsidRDefault="00E45B7D" w:rsidP="00E45B7D">
            <w:pPr>
              <w:tabs>
                <w:tab w:val="left" w:pos="413"/>
              </w:tabs>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Green</w:t>
            </w:r>
          </w:p>
        </w:tc>
      </w:tr>
      <w:tr w:rsidR="00F405CE" w:rsidRPr="0032430A" w14:paraId="7DAC1DDB" w14:textId="77777777" w:rsidTr="05A74CAE">
        <w:trPr>
          <w:trHeight w:val="635"/>
        </w:trPr>
        <w:tc>
          <w:tcPr>
            <w:tcW w:w="3918" w:type="dxa"/>
            <w:shd w:val="clear" w:color="auto" w:fill="auto"/>
            <w:tcMar>
              <w:top w:w="72" w:type="dxa"/>
              <w:left w:w="144" w:type="dxa"/>
              <w:bottom w:w="72" w:type="dxa"/>
              <w:right w:w="144" w:type="dxa"/>
            </w:tcMar>
          </w:tcPr>
          <w:p w14:paraId="28CE4825" w14:textId="40AC2589" w:rsidR="00E877EC" w:rsidRPr="003025A2" w:rsidRDefault="00E877EC" w:rsidP="00E877EC">
            <w:pPr>
              <w:tabs>
                <w:tab w:val="left" w:pos="413"/>
              </w:tabs>
              <w:spacing w:after="0" w:line="240" w:lineRule="auto"/>
              <w:rPr>
                <w:rFonts w:ascii="Arial" w:eastAsia="MS PGothic" w:hAnsi="Arial" w:cs="Arial"/>
                <w:kern w:val="24"/>
                <w:sz w:val="24"/>
                <w:szCs w:val="24"/>
                <w:lang w:val="en-US" w:eastAsia="en-GB"/>
              </w:rPr>
            </w:pPr>
            <w:r w:rsidRPr="003025A2">
              <w:rPr>
                <w:rFonts w:ascii="Arial" w:eastAsia="MS PGothic" w:hAnsi="Arial" w:cs="Arial"/>
                <w:kern w:val="24"/>
                <w:sz w:val="24"/>
                <w:szCs w:val="24"/>
              </w:rPr>
              <w:t>Using evidence to ensure CQC decision making is fair</w:t>
            </w:r>
          </w:p>
        </w:tc>
        <w:tc>
          <w:tcPr>
            <w:tcW w:w="8904" w:type="dxa"/>
            <w:shd w:val="clear" w:color="auto" w:fill="auto"/>
            <w:tcMar>
              <w:top w:w="72" w:type="dxa"/>
              <w:left w:w="144" w:type="dxa"/>
              <w:bottom w:w="72" w:type="dxa"/>
              <w:right w:w="144" w:type="dxa"/>
            </w:tcMar>
          </w:tcPr>
          <w:p w14:paraId="2728CAAB" w14:textId="77777777" w:rsidR="00E877EC" w:rsidRPr="003025A2" w:rsidRDefault="00E877EC" w:rsidP="001C1581">
            <w:pPr>
              <w:pStyle w:val="NormalWeb"/>
              <w:spacing w:before="0" w:beforeAutospacing="0" w:after="0" w:afterAutospacing="0"/>
              <w:ind w:left="360"/>
              <w:rPr>
                <w:rFonts w:ascii="Arial" w:hAnsi="Arial" w:cs="Arial"/>
              </w:rPr>
            </w:pPr>
            <w:r w:rsidRPr="003025A2">
              <w:rPr>
                <w:rFonts w:ascii="Arial" w:eastAsia="MS PGothic" w:hAnsi="Arial" w:cs="Arial"/>
                <w:kern w:val="24"/>
                <w:lang w:val="en-US"/>
              </w:rPr>
              <w:t>Integrate equality monitoring into IOM2</w:t>
            </w:r>
          </w:p>
          <w:p w14:paraId="0CB26CC4" w14:textId="62F3CA0D" w:rsidR="00E877EC" w:rsidRPr="003025A2" w:rsidRDefault="00E877EC" w:rsidP="001C1581">
            <w:pPr>
              <w:tabs>
                <w:tab w:val="left" w:pos="413"/>
              </w:tabs>
              <w:spacing w:after="0" w:line="240" w:lineRule="auto"/>
              <w:ind w:left="360"/>
              <w:contextualSpacing/>
              <w:rPr>
                <w:rFonts w:ascii="Arial" w:eastAsia="MS PGothic" w:hAnsi="Arial" w:cs="Arial"/>
                <w:kern w:val="24"/>
                <w:sz w:val="24"/>
                <w:szCs w:val="24"/>
                <w:lang w:val="en-US" w:eastAsia="en-GB"/>
              </w:rPr>
            </w:pPr>
            <w:r w:rsidRPr="003025A2">
              <w:rPr>
                <w:rFonts w:ascii="Arial" w:eastAsia="MS PGothic" w:hAnsi="Arial" w:cs="Arial"/>
                <w:kern w:val="24"/>
                <w:sz w:val="24"/>
                <w:szCs w:val="24"/>
                <w:lang w:val="en-US"/>
              </w:rPr>
              <w:t>Deliver recommendations of GP Inequalities report</w:t>
            </w:r>
          </w:p>
        </w:tc>
        <w:tc>
          <w:tcPr>
            <w:tcW w:w="1950" w:type="dxa"/>
            <w:shd w:val="clear" w:color="auto" w:fill="92D050"/>
            <w:tcMar>
              <w:top w:w="72" w:type="dxa"/>
              <w:left w:w="144" w:type="dxa"/>
              <w:bottom w:w="72" w:type="dxa"/>
              <w:right w:w="144" w:type="dxa"/>
            </w:tcMar>
          </w:tcPr>
          <w:p w14:paraId="34034CF5" w14:textId="0F7B86C6" w:rsidR="00E877EC" w:rsidRPr="0032430A" w:rsidRDefault="00E45B7D" w:rsidP="00E45B7D">
            <w:pPr>
              <w:tabs>
                <w:tab w:val="left" w:pos="413"/>
              </w:tabs>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Green</w:t>
            </w:r>
          </w:p>
        </w:tc>
      </w:tr>
      <w:tr w:rsidR="00F405CE" w:rsidRPr="0032430A" w14:paraId="0C9DB3D6" w14:textId="77777777" w:rsidTr="05A74CAE">
        <w:trPr>
          <w:trHeight w:val="635"/>
        </w:trPr>
        <w:tc>
          <w:tcPr>
            <w:tcW w:w="14772" w:type="dxa"/>
            <w:gridSpan w:val="3"/>
            <w:shd w:val="clear" w:color="auto" w:fill="auto"/>
            <w:tcMar>
              <w:top w:w="72" w:type="dxa"/>
              <w:left w:w="144" w:type="dxa"/>
              <w:bottom w:w="72" w:type="dxa"/>
              <w:right w:w="144" w:type="dxa"/>
            </w:tcMar>
          </w:tcPr>
          <w:p w14:paraId="2ADFB662" w14:textId="2C5B0C1B" w:rsidR="003C4E84" w:rsidRPr="0032430A" w:rsidRDefault="003C4E84" w:rsidP="00245060">
            <w:pPr>
              <w:pStyle w:val="Heading1"/>
              <w:numPr>
                <w:ilvl w:val="0"/>
                <w:numId w:val="13"/>
              </w:numPr>
              <w:spacing w:line="264" w:lineRule="auto"/>
              <w:rPr>
                <w:rFonts w:ascii="Arial" w:hAnsi="Arial" w:cs="Arial"/>
                <w:b/>
                <w:bCs/>
                <w:color w:val="auto"/>
                <w:sz w:val="28"/>
                <w:szCs w:val="28"/>
              </w:rPr>
            </w:pPr>
            <w:r w:rsidRPr="0032430A">
              <w:rPr>
                <w:rFonts w:ascii="Arial" w:hAnsi="Arial" w:cs="Arial"/>
                <w:b/>
                <w:bCs/>
                <w:color w:val="auto"/>
                <w:sz w:val="28"/>
                <w:szCs w:val="28"/>
              </w:rPr>
              <w:t>Working with others to improve equality of access, experience and outcomes</w:t>
            </w:r>
          </w:p>
          <w:p w14:paraId="4B40B648" w14:textId="77777777" w:rsidR="0053533C" w:rsidRPr="0032430A" w:rsidRDefault="0053533C" w:rsidP="00502EAC">
            <w:pPr>
              <w:tabs>
                <w:tab w:val="left" w:pos="413"/>
              </w:tabs>
              <w:spacing w:after="0" w:line="240" w:lineRule="auto"/>
              <w:ind w:left="994"/>
              <w:contextualSpacing/>
              <w:rPr>
                <w:rFonts w:ascii="Arial" w:eastAsia="Times New Roman" w:hAnsi="Arial" w:cs="Arial"/>
                <w:sz w:val="24"/>
                <w:szCs w:val="24"/>
                <w:lang w:eastAsia="en-GB"/>
              </w:rPr>
            </w:pPr>
          </w:p>
        </w:tc>
      </w:tr>
      <w:tr w:rsidR="001C1581" w:rsidRPr="0032430A" w14:paraId="11C59F24" w14:textId="77777777" w:rsidTr="05A74CAE">
        <w:trPr>
          <w:trHeight w:val="635"/>
        </w:trPr>
        <w:tc>
          <w:tcPr>
            <w:tcW w:w="3918" w:type="dxa"/>
            <w:vMerge w:val="restart"/>
            <w:shd w:val="clear" w:color="auto" w:fill="auto"/>
            <w:tcMar>
              <w:top w:w="72" w:type="dxa"/>
              <w:left w:w="144" w:type="dxa"/>
              <w:bottom w:w="72" w:type="dxa"/>
              <w:right w:w="144" w:type="dxa"/>
            </w:tcMar>
          </w:tcPr>
          <w:p w14:paraId="36297EB8" w14:textId="77777777" w:rsidR="001C1581" w:rsidRPr="003025A2" w:rsidRDefault="001C1581" w:rsidP="00CE451F">
            <w:pPr>
              <w:tabs>
                <w:tab w:val="left" w:pos="413"/>
              </w:tabs>
              <w:spacing w:after="0" w:line="240" w:lineRule="auto"/>
              <w:rPr>
                <w:rFonts w:ascii="Arial" w:eastAsia="MS PGothic" w:hAnsi="Arial" w:cs="Arial"/>
                <w:kern w:val="24"/>
                <w:sz w:val="24"/>
                <w:szCs w:val="24"/>
                <w:lang w:eastAsia="en-GB"/>
              </w:rPr>
            </w:pPr>
            <w:r w:rsidRPr="003025A2">
              <w:rPr>
                <w:rFonts w:ascii="Arial" w:eastAsia="MS PGothic" w:hAnsi="Arial" w:cs="Arial"/>
                <w:kern w:val="24"/>
                <w:sz w:val="24"/>
                <w:szCs w:val="24"/>
                <w:lang w:val="en-US" w:eastAsia="en-GB"/>
              </w:rPr>
              <w:t>National joint working</w:t>
            </w:r>
          </w:p>
          <w:p w14:paraId="77408876" w14:textId="77777777" w:rsidR="001C1581" w:rsidRPr="003025A2" w:rsidRDefault="001C1581" w:rsidP="006079B0">
            <w:pPr>
              <w:tabs>
                <w:tab w:val="left" w:pos="413"/>
              </w:tabs>
              <w:spacing w:after="0" w:line="240" w:lineRule="auto"/>
              <w:rPr>
                <w:rFonts w:ascii="Arial" w:eastAsia="MS PGothic" w:hAnsi="Arial" w:cs="Arial"/>
                <w:kern w:val="24"/>
                <w:sz w:val="24"/>
                <w:szCs w:val="24"/>
                <w:lang w:val="en-US" w:eastAsia="en-GB"/>
              </w:rPr>
            </w:pPr>
          </w:p>
        </w:tc>
        <w:tc>
          <w:tcPr>
            <w:tcW w:w="8904" w:type="dxa"/>
            <w:shd w:val="clear" w:color="auto" w:fill="auto"/>
            <w:tcMar>
              <w:top w:w="72" w:type="dxa"/>
              <w:left w:w="144" w:type="dxa"/>
              <w:bottom w:w="72" w:type="dxa"/>
              <w:right w:w="144" w:type="dxa"/>
            </w:tcMar>
          </w:tcPr>
          <w:p w14:paraId="01C0005F" w14:textId="04951D05" w:rsidR="001C1581" w:rsidRPr="00BD040A" w:rsidRDefault="001C1581" w:rsidP="00BD040A">
            <w:pPr>
              <w:tabs>
                <w:tab w:val="left" w:pos="413"/>
              </w:tabs>
              <w:ind w:left="360"/>
              <w:rPr>
                <w:rFonts w:ascii="Arial" w:eastAsia="MS PGothic" w:hAnsi="Arial" w:cs="Arial"/>
                <w:kern w:val="24"/>
                <w:sz w:val="24"/>
                <w:szCs w:val="24"/>
              </w:rPr>
            </w:pPr>
            <w:r w:rsidRPr="003025A2">
              <w:rPr>
                <w:rFonts w:ascii="Arial" w:eastAsia="MS PGothic" w:hAnsi="Arial" w:cs="Arial"/>
                <w:kern w:val="24"/>
                <w:sz w:val="24"/>
                <w:szCs w:val="24"/>
                <w:lang w:val="en-US"/>
              </w:rPr>
              <w:t xml:space="preserve">Look at priorities for developing other improvement coalitions on equality/ health inequalities-based aligning with Strategy theme on </w:t>
            </w:r>
            <w:r w:rsidR="00D00159" w:rsidRPr="003025A2">
              <w:rPr>
                <w:rFonts w:ascii="Arial" w:eastAsia="MS PGothic" w:hAnsi="Arial" w:cs="Arial"/>
                <w:kern w:val="24"/>
                <w:sz w:val="24"/>
                <w:szCs w:val="24"/>
                <w:lang w:val="en-US"/>
              </w:rPr>
              <w:t>accelerating improvement</w:t>
            </w:r>
            <w:r w:rsidRPr="003025A2">
              <w:rPr>
                <w:rFonts w:ascii="Arial" w:eastAsia="MS PGothic" w:hAnsi="Arial" w:cs="Arial"/>
                <w:kern w:val="24"/>
                <w:sz w:val="24"/>
                <w:szCs w:val="24"/>
                <w:lang w:val="en-US"/>
              </w:rPr>
              <w:t xml:space="preserve"> </w:t>
            </w:r>
          </w:p>
        </w:tc>
        <w:tc>
          <w:tcPr>
            <w:tcW w:w="1950" w:type="dxa"/>
            <w:shd w:val="clear" w:color="auto" w:fill="92D050"/>
            <w:tcMar>
              <w:top w:w="72" w:type="dxa"/>
              <w:left w:w="144" w:type="dxa"/>
              <w:bottom w:w="72" w:type="dxa"/>
              <w:right w:w="144" w:type="dxa"/>
            </w:tcMar>
          </w:tcPr>
          <w:p w14:paraId="3DDAE666" w14:textId="10EE041E" w:rsidR="001C1581" w:rsidRPr="0032430A" w:rsidRDefault="00E45B7D" w:rsidP="00E45B7D">
            <w:pPr>
              <w:tabs>
                <w:tab w:val="left" w:pos="413"/>
              </w:tabs>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Green</w:t>
            </w:r>
          </w:p>
        </w:tc>
      </w:tr>
      <w:tr w:rsidR="001C1581" w:rsidRPr="0032430A" w14:paraId="4F8E4ECD" w14:textId="77777777" w:rsidTr="05A74CAE">
        <w:trPr>
          <w:trHeight w:val="635"/>
        </w:trPr>
        <w:tc>
          <w:tcPr>
            <w:tcW w:w="3918" w:type="dxa"/>
            <w:vMerge/>
            <w:tcMar>
              <w:top w:w="72" w:type="dxa"/>
              <w:left w:w="144" w:type="dxa"/>
              <w:bottom w:w="72" w:type="dxa"/>
              <w:right w:w="144" w:type="dxa"/>
            </w:tcMar>
          </w:tcPr>
          <w:p w14:paraId="289911DA" w14:textId="77777777" w:rsidR="001C1581" w:rsidRPr="003025A2" w:rsidRDefault="001C1581" w:rsidP="006079B0">
            <w:pPr>
              <w:tabs>
                <w:tab w:val="left" w:pos="413"/>
              </w:tabs>
              <w:spacing w:after="0" w:line="240" w:lineRule="auto"/>
              <w:rPr>
                <w:rFonts w:ascii="Arial" w:eastAsia="MS PGothic" w:hAnsi="Arial" w:cs="Arial"/>
                <w:kern w:val="24"/>
                <w:sz w:val="24"/>
                <w:szCs w:val="24"/>
                <w:lang w:val="en-US" w:eastAsia="en-GB"/>
              </w:rPr>
            </w:pPr>
          </w:p>
        </w:tc>
        <w:tc>
          <w:tcPr>
            <w:tcW w:w="8904" w:type="dxa"/>
            <w:shd w:val="clear" w:color="auto" w:fill="auto"/>
            <w:tcMar>
              <w:top w:w="72" w:type="dxa"/>
              <w:left w:w="144" w:type="dxa"/>
              <w:bottom w:w="72" w:type="dxa"/>
              <w:right w:w="144" w:type="dxa"/>
            </w:tcMar>
          </w:tcPr>
          <w:p w14:paraId="134E9976" w14:textId="4AA03FDD" w:rsidR="001C1581" w:rsidRPr="003025A2" w:rsidRDefault="001C1581" w:rsidP="003025A2">
            <w:pPr>
              <w:tabs>
                <w:tab w:val="left" w:pos="413"/>
              </w:tabs>
              <w:spacing w:after="0" w:line="240" w:lineRule="auto"/>
              <w:ind w:left="360"/>
              <w:rPr>
                <w:rFonts w:ascii="Arial" w:eastAsia="MS PGothic" w:hAnsi="Arial" w:cs="Arial"/>
                <w:kern w:val="24"/>
                <w:sz w:val="24"/>
                <w:szCs w:val="24"/>
                <w:lang w:eastAsia="en-GB"/>
              </w:rPr>
            </w:pPr>
            <w:r w:rsidRPr="003025A2">
              <w:rPr>
                <w:rFonts w:ascii="Arial" w:eastAsia="MS PGothic" w:hAnsi="Arial" w:cs="Arial"/>
                <w:kern w:val="24"/>
                <w:sz w:val="24"/>
                <w:szCs w:val="24"/>
                <w:lang w:val="en-US" w:eastAsia="en-GB"/>
              </w:rPr>
              <w:t xml:space="preserve">Actions arising from Chief Execs of </w:t>
            </w:r>
            <w:r w:rsidR="003D345B" w:rsidRPr="003025A2">
              <w:rPr>
                <w:rFonts w:ascii="Arial" w:eastAsia="MS PGothic" w:hAnsi="Arial" w:cs="Arial"/>
                <w:kern w:val="24"/>
                <w:sz w:val="24"/>
                <w:szCs w:val="24"/>
                <w:lang w:val="en-US" w:eastAsia="en-GB"/>
              </w:rPr>
              <w:t>Arm’s Length</w:t>
            </w:r>
            <w:r w:rsidR="004637E6" w:rsidRPr="003025A2">
              <w:rPr>
                <w:rFonts w:ascii="Arial" w:eastAsia="MS PGothic" w:hAnsi="Arial" w:cs="Arial"/>
                <w:kern w:val="24"/>
                <w:sz w:val="24"/>
                <w:szCs w:val="24"/>
                <w:lang w:val="en-US" w:eastAsia="en-GB"/>
              </w:rPr>
              <w:t xml:space="preserve"> </w:t>
            </w:r>
            <w:r w:rsidRPr="003025A2">
              <w:rPr>
                <w:rFonts w:ascii="Arial" w:eastAsia="MS PGothic" w:hAnsi="Arial" w:cs="Arial"/>
                <w:kern w:val="24"/>
                <w:sz w:val="24"/>
                <w:szCs w:val="24"/>
                <w:lang w:val="en-US" w:eastAsia="en-GB"/>
              </w:rPr>
              <w:t>B</w:t>
            </w:r>
            <w:r w:rsidR="004637E6" w:rsidRPr="003025A2">
              <w:rPr>
                <w:rFonts w:ascii="Arial" w:eastAsia="MS PGothic" w:hAnsi="Arial" w:cs="Arial"/>
                <w:kern w:val="24"/>
                <w:sz w:val="24"/>
                <w:szCs w:val="24"/>
                <w:lang w:val="en-US" w:eastAsia="en-GB"/>
              </w:rPr>
              <w:t>odie</w:t>
            </w:r>
            <w:r w:rsidRPr="003025A2">
              <w:rPr>
                <w:rFonts w:ascii="Arial" w:eastAsia="MS PGothic" w:hAnsi="Arial" w:cs="Arial"/>
                <w:kern w:val="24"/>
                <w:sz w:val="24"/>
                <w:szCs w:val="24"/>
                <w:lang w:val="en-US" w:eastAsia="en-GB"/>
              </w:rPr>
              <w:t>s meeting</w:t>
            </w:r>
            <w:r w:rsidR="003D345B" w:rsidRPr="003025A2">
              <w:rPr>
                <w:rFonts w:ascii="Arial" w:eastAsia="MS PGothic" w:hAnsi="Arial" w:cs="Arial"/>
                <w:kern w:val="24"/>
                <w:sz w:val="24"/>
                <w:szCs w:val="24"/>
                <w:lang w:val="en-US" w:eastAsia="en-GB"/>
              </w:rPr>
              <w:t xml:space="preserve"> on tackling inequalities</w:t>
            </w:r>
          </w:p>
        </w:tc>
        <w:tc>
          <w:tcPr>
            <w:tcW w:w="1950" w:type="dxa"/>
            <w:shd w:val="clear" w:color="auto" w:fill="FFC000" w:themeFill="accent4"/>
            <w:tcMar>
              <w:top w:w="72" w:type="dxa"/>
              <w:left w:w="144" w:type="dxa"/>
              <w:bottom w:w="72" w:type="dxa"/>
              <w:right w:w="144" w:type="dxa"/>
            </w:tcMar>
          </w:tcPr>
          <w:p w14:paraId="4961FF5C" w14:textId="4EBE55F6" w:rsidR="001C1581" w:rsidRPr="0032430A" w:rsidRDefault="00E45B7D" w:rsidP="00E45B7D">
            <w:pPr>
              <w:tabs>
                <w:tab w:val="left" w:pos="413"/>
              </w:tabs>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Amber</w:t>
            </w:r>
          </w:p>
        </w:tc>
      </w:tr>
      <w:tr w:rsidR="00F405CE" w:rsidRPr="0032430A" w14:paraId="1331B6D4" w14:textId="77777777" w:rsidTr="05A74CAE">
        <w:trPr>
          <w:trHeight w:val="635"/>
        </w:trPr>
        <w:tc>
          <w:tcPr>
            <w:tcW w:w="3918" w:type="dxa"/>
            <w:shd w:val="clear" w:color="auto" w:fill="auto"/>
            <w:tcMar>
              <w:top w:w="72" w:type="dxa"/>
              <w:left w:w="144" w:type="dxa"/>
              <w:bottom w:w="72" w:type="dxa"/>
              <w:right w:w="144" w:type="dxa"/>
            </w:tcMar>
          </w:tcPr>
          <w:p w14:paraId="08397C4A" w14:textId="6F158ED0" w:rsidR="002E3E21" w:rsidRPr="003025A2" w:rsidRDefault="001E5A2B" w:rsidP="006079B0">
            <w:pPr>
              <w:tabs>
                <w:tab w:val="left" w:pos="413"/>
              </w:tabs>
              <w:spacing w:after="0" w:line="240" w:lineRule="auto"/>
              <w:rPr>
                <w:rFonts w:ascii="Arial" w:eastAsia="MS PGothic" w:hAnsi="Arial" w:cs="Arial"/>
                <w:kern w:val="24"/>
                <w:sz w:val="24"/>
                <w:szCs w:val="24"/>
                <w:lang w:eastAsia="en-GB"/>
              </w:rPr>
            </w:pPr>
            <w:r w:rsidRPr="003025A2">
              <w:rPr>
                <w:rFonts w:ascii="Arial" w:eastAsia="MS PGothic" w:hAnsi="Arial" w:cs="Arial"/>
                <w:kern w:val="24"/>
                <w:sz w:val="24"/>
                <w:szCs w:val="24"/>
                <w:lang w:eastAsia="en-GB"/>
              </w:rPr>
              <w:t xml:space="preserve">Building improving equality/ tackling inequalities into joint work through </w:t>
            </w:r>
            <w:r w:rsidR="001C1581" w:rsidRPr="003025A2">
              <w:rPr>
                <w:rFonts w:ascii="Arial" w:eastAsia="MS PGothic" w:hAnsi="Arial" w:cs="Arial"/>
                <w:kern w:val="24"/>
                <w:sz w:val="24"/>
                <w:szCs w:val="24"/>
                <w:lang w:eastAsia="en-GB"/>
              </w:rPr>
              <w:t>Memoranda of Understanding</w:t>
            </w:r>
          </w:p>
        </w:tc>
        <w:tc>
          <w:tcPr>
            <w:tcW w:w="8904" w:type="dxa"/>
            <w:shd w:val="clear" w:color="auto" w:fill="auto"/>
            <w:tcMar>
              <w:top w:w="72" w:type="dxa"/>
              <w:left w:w="144" w:type="dxa"/>
              <w:bottom w:w="72" w:type="dxa"/>
              <w:right w:w="144" w:type="dxa"/>
            </w:tcMar>
          </w:tcPr>
          <w:p w14:paraId="7DCD2A6E" w14:textId="6126C4A3" w:rsidR="002906E1" w:rsidRPr="003025A2" w:rsidRDefault="002906E1" w:rsidP="001B01BE">
            <w:pPr>
              <w:tabs>
                <w:tab w:val="left" w:pos="413"/>
              </w:tabs>
              <w:ind w:left="360"/>
              <w:rPr>
                <w:rFonts w:ascii="Arial" w:eastAsia="MS PGothic" w:hAnsi="Arial" w:cs="Arial"/>
                <w:kern w:val="24"/>
                <w:sz w:val="24"/>
                <w:szCs w:val="24"/>
              </w:rPr>
            </w:pPr>
            <w:r w:rsidRPr="003025A2">
              <w:rPr>
                <w:rFonts w:ascii="Arial" w:eastAsia="MS PGothic" w:hAnsi="Arial" w:cs="Arial"/>
                <w:kern w:val="24"/>
                <w:sz w:val="24"/>
                <w:szCs w:val="24"/>
                <w:lang w:val="en-US"/>
              </w:rPr>
              <w:t xml:space="preserve">Deliver small action plan </w:t>
            </w:r>
            <w:r w:rsidR="00154508" w:rsidRPr="003025A2">
              <w:rPr>
                <w:rFonts w:ascii="Arial" w:eastAsia="MS PGothic" w:hAnsi="Arial" w:cs="Arial"/>
                <w:kern w:val="24"/>
                <w:sz w:val="24"/>
                <w:szCs w:val="24"/>
                <w:lang w:val="en-US"/>
              </w:rPr>
              <w:t>–</w:t>
            </w:r>
            <w:r w:rsidRPr="003025A2">
              <w:rPr>
                <w:rFonts w:ascii="Arial" w:eastAsia="MS PGothic" w:hAnsi="Arial" w:cs="Arial"/>
                <w:kern w:val="24"/>
                <w:sz w:val="24"/>
                <w:szCs w:val="24"/>
                <w:lang w:val="en-US"/>
              </w:rPr>
              <w:t xml:space="preserve"> Align with wider work on </w:t>
            </w:r>
            <w:r w:rsidR="001C1581" w:rsidRPr="003025A2">
              <w:rPr>
                <w:rFonts w:ascii="Arial" w:eastAsia="MS PGothic" w:hAnsi="Arial" w:cs="Arial"/>
                <w:kern w:val="24"/>
                <w:sz w:val="24"/>
                <w:szCs w:val="24"/>
                <w:lang w:val="en-US"/>
              </w:rPr>
              <w:t>Memoranda of Understanding</w:t>
            </w:r>
          </w:p>
          <w:p w14:paraId="2061D3D0" w14:textId="42E1C522" w:rsidR="002E3E21" w:rsidRPr="003025A2" w:rsidRDefault="002E3E21" w:rsidP="001C1581">
            <w:pPr>
              <w:tabs>
                <w:tab w:val="left" w:pos="413"/>
              </w:tabs>
              <w:spacing w:after="0" w:line="240" w:lineRule="auto"/>
              <w:ind w:left="994"/>
              <w:contextualSpacing/>
              <w:rPr>
                <w:rFonts w:ascii="Arial" w:eastAsia="MS PGothic" w:hAnsi="Arial" w:cs="Arial"/>
                <w:kern w:val="24"/>
                <w:sz w:val="24"/>
                <w:szCs w:val="24"/>
                <w:lang w:val="en-US" w:eastAsia="en-GB"/>
              </w:rPr>
            </w:pPr>
          </w:p>
        </w:tc>
        <w:tc>
          <w:tcPr>
            <w:tcW w:w="1950" w:type="dxa"/>
            <w:shd w:val="clear" w:color="auto" w:fill="92D050"/>
            <w:tcMar>
              <w:top w:w="72" w:type="dxa"/>
              <w:left w:w="144" w:type="dxa"/>
              <w:bottom w:w="72" w:type="dxa"/>
              <w:right w:w="144" w:type="dxa"/>
            </w:tcMar>
          </w:tcPr>
          <w:p w14:paraId="64079D7D" w14:textId="4C8E1287" w:rsidR="002E3E21" w:rsidRPr="0032430A" w:rsidRDefault="00E45B7D" w:rsidP="00E45B7D">
            <w:pPr>
              <w:tabs>
                <w:tab w:val="left" w:pos="413"/>
              </w:tabs>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Green</w:t>
            </w:r>
          </w:p>
        </w:tc>
      </w:tr>
      <w:tr w:rsidR="00F405CE" w:rsidRPr="0032430A" w14:paraId="04D8AA29" w14:textId="77777777" w:rsidTr="05A74CAE">
        <w:trPr>
          <w:trHeight w:val="635"/>
        </w:trPr>
        <w:tc>
          <w:tcPr>
            <w:tcW w:w="3918" w:type="dxa"/>
            <w:shd w:val="clear" w:color="auto" w:fill="auto"/>
            <w:tcMar>
              <w:top w:w="72" w:type="dxa"/>
              <w:left w:w="144" w:type="dxa"/>
              <w:bottom w:w="72" w:type="dxa"/>
              <w:right w:w="144" w:type="dxa"/>
            </w:tcMar>
          </w:tcPr>
          <w:p w14:paraId="4C470E95" w14:textId="55BB4040" w:rsidR="002E3E21" w:rsidRPr="003025A2" w:rsidRDefault="002906E1" w:rsidP="006079B0">
            <w:pPr>
              <w:tabs>
                <w:tab w:val="left" w:pos="413"/>
              </w:tabs>
              <w:spacing w:after="0" w:line="240" w:lineRule="auto"/>
              <w:rPr>
                <w:rFonts w:ascii="Arial" w:eastAsia="MS PGothic" w:hAnsi="Arial" w:cs="Arial"/>
                <w:kern w:val="24"/>
                <w:sz w:val="24"/>
                <w:szCs w:val="24"/>
                <w:lang w:eastAsia="en-GB"/>
              </w:rPr>
            </w:pPr>
            <w:r w:rsidRPr="003025A2">
              <w:rPr>
                <w:rFonts w:ascii="Arial" w:eastAsia="MS PGothic" w:hAnsi="Arial" w:cs="Arial"/>
                <w:kern w:val="24"/>
                <w:sz w:val="24"/>
                <w:szCs w:val="24"/>
                <w:lang w:eastAsia="en-GB"/>
              </w:rPr>
              <w:lastRenderedPageBreak/>
              <w:t>Build our own capacity to escalate issues to others and respond to recommendations from others</w:t>
            </w:r>
          </w:p>
        </w:tc>
        <w:tc>
          <w:tcPr>
            <w:tcW w:w="8904" w:type="dxa"/>
            <w:shd w:val="clear" w:color="auto" w:fill="auto"/>
            <w:tcMar>
              <w:top w:w="72" w:type="dxa"/>
              <w:left w:w="144" w:type="dxa"/>
              <w:bottom w:w="72" w:type="dxa"/>
              <w:right w:w="144" w:type="dxa"/>
            </w:tcMar>
          </w:tcPr>
          <w:p w14:paraId="5D074444" w14:textId="2F29986F" w:rsidR="002E3E21" w:rsidRPr="003025A2" w:rsidRDefault="002906E1" w:rsidP="00B545F1">
            <w:pPr>
              <w:tabs>
                <w:tab w:val="left" w:pos="413"/>
              </w:tabs>
              <w:ind w:left="360"/>
              <w:rPr>
                <w:rFonts w:ascii="Arial" w:eastAsia="MS PGothic" w:hAnsi="Arial" w:cs="Arial"/>
                <w:kern w:val="24"/>
                <w:sz w:val="24"/>
                <w:szCs w:val="24"/>
                <w:lang w:eastAsia="en-GB"/>
              </w:rPr>
            </w:pPr>
            <w:r w:rsidRPr="003025A2">
              <w:rPr>
                <w:rFonts w:ascii="Arial" w:eastAsia="MS PGothic" w:hAnsi="Arial" w:cs="Arial"/>
                <w:kern w:val="24"/>
                <w:sz w:val="24"/>
                <w:szCs w:val="24"/>
                <w:lang w:val="en-US" w:eastAsia="en-GB"/>
              </w:rPr>
              <w:t>Embed research and development priorities into relevant CQC R</w:t>
            </w:r>
            <w:r w:rsidR="001B01BE" w:rsidRPr="003025A2">
              <w:rPr>
                <w:rFonts w:ascii="Arial" w:eastAsia="MS PGothic" w:hAnsi="Arial" w:cs="Arial"/>
                <w:kern w:val="24"/>
                <w:sz w:val="24"/>
                <w:szCs w:val="24"/>
                <w:lang w:val="en-US" w:eastAsia="en-GB"/>
              </w:rPr>
              <w:t xml:space="preserve">esearch and </w:t>
            </w:r>
            <w:r w:rsidRPr="003025A2">
              <w:rPr>
                <w:rFonts w:ascii="Arial" w:eastAsia="MS PGothic" w:hAnsi="Arial" w:cs="Arial"/>
                <w:kern w:val="24"/>
                <w:sz w:val="24"/>
                <w:szCs w:val="24"/>
                <w:lang w:val="en-US" w:eastAsia="en-GB"/>
              </w:rPr>
              <w:t>D</w:t>
            </w:r>
            <w:r w:rsidR="001B01BE" w:rsidRPr="003025A2">
              <w:rPr>
                <w:rFonts w:ascii="Arial" w:eastAsia="MS PGothic" w:hAnsi="Arial" w:cs="Arial"/>
                <w:kern w:val="24"/>
                <w:sz w:val="24"/>
                <w:szCs w:val="24"/>
                <w:lang w:val="en-US" w:eastAsia="en-GB"/>
              </w:rPr>
              <w:t>evelopment</w:t>
            </w:r>
            <w:r w:rsidRPr="003025A2">
              <w:rPr>
                <w:rFonts w:ascii="Arial" w:eastAsia="MS PGothic" w:hAnsi="Arial" w:cs="Arial"/>
                <w:kern w:val="24"/>
                <w:sz w:val="24"/>
                <w:szCs w:val="24"/>
                <w:lang w:val="en-US" w:eastAsia="en-GB"/>
              </w:rPr>
              <w:t xml:space="preserve"> priorities</w:t>
            </w:r>
            <w:r w:rsidR="007779F7">
              <w:rPr>
                <w:rFonts w:ascii="Arial" w:eastAsia="MS PGothic" w:hAnsi="Arial" w:cs="Arial"/>
                <w:kern w:val="24"/>
                <w:sz w:val="24"/>
                <w:szCs w:val="24"/>
                <w:lang w:val="en-US" w:eastAsia="en-GB"/>
              </w:rPr>
              <w:t xml:space="preserve">. </w:t>
            </w:r>
            <w:r w:rsidRPr="003025A2">
              <w:rPr>
                <w:rFonts w:ascii="Arial" w:eastAsia="MS PGothic" w:hAnsi="Arial" w:cs="Arial"/>
                <w:kern w:val="24"/>
                <w:sz w:val="24"/>
                <w:szCs w:val="24"/>
                <w:lang w:val="en-US" w:eastAsia="en-GB"/>
              </w:rPr>
              <w:t>Test in regulatory model pilots – including different approaches</w:t>
            </w:r>
            <w:r w:rsidR="00B545F1">
              <w:rPr>
                <w:rFonts w:ascii="Arial" w:eastAsia="MS PGothic" w:hAnsi="Arial" w:cs="Arial"/>
                <w:kern w:val="24"/>
                <w:sz w:val="24"/>
                <w:szCs w:val="24"/>
                <w:lang w:val="en-US" w:eastAsia="en-GB"/>
              </w:rPr>
              <w:t xml:space="preserve">. </w:t>
            </w:r>
            <w:r w:rsidRPr="003025A2">
              <w:rPr>
                <w:rFonts w:ascii="Arial" w:eastAsia="MS PGothic" w:hAnsi="Arial" w:cs="Arial"/>
                <w:kern w:val="24"/>
                <w:sz w:val="24"/>
                <w:szCs w:val="24"/>
                <w:lang w:val="en-US" w:eastAsia="en-GB"/>
              </w:rPr>
              <w:t>Align with MOU development work</w:t>
            </w:r>
          </w:p>
        </w:tc>
        <w:tc>
          <w:tcPr>
            <w:tcW w:w="1950" w:type="dxa"/>
            <w:shd w:val="clear" w:color="auto" w:fill="FFC000" w:themeFill="accent4"/>
            <w:tcMar>
              <w:top w:w="72" w:type="dxa"/>
              <w:left w:w="144" w:type="dxa"/>
              <w:bottom w:w="72" w:type="dxa"/>
              <w:right w:w="144" w:type="dxa"/>
            </w:tcMar>
          </w:tcPr>
          <w:p w14:paraId="7AD2D23F" w14:textId="0F3E9749" w:rsidR="002E3E21" w:rsidRPr="0032430A" w:rsidRDefault="00E45B7D" w:rsidP="00E45B7D">
            <w:pPr>
              <w:tabs>
                <w:tab w:val="left" w:pos="413"/>
              </w:tabs>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Amber</w:t>
            </w:r>
          </w:p>
        </w:tc>
      </w:tr>
      <w:tr w:rsidR="00F405CE" w:rsidRPr="0032430A" w14:paraId="5C4F6844" w14:textId="77777777" w:rsidTr="05A74CAE">
        <w:trPr>
          <w:trHeight w:val="635"/>
        </w:trPr>
        <w:tc>
          <w:tcPr>
            <w:tcW w:w="14772" w:type="dxa"/>
            <w:gridSpan w:val="3"/>
            <w:shd w:val="clear" w:color="auto" w:fill="auto"/>
            <w:tcMar>
              <w:top w:w="72" w:type="dxa"/>
              <w:left w:w="144" w:type="dxa"/>
              <w:bottom w:w="72" w:type="dxa"/>
              <w:right w:w="144" w:type="dxa"/>
            </w:tcMar>
          </w:tcPr>
          <w:p w14:paraId="7B9EBC12" w14:textId="055DCD65" w:rsidR="002E3E21" w:rsidRPr="0032430A" w:rsidRDefault="002E3E21" w:rsidP="00A011F1">
            <w:pPr>
              <w:pStyle w:val="Heading1"/>
              <w:numPr>
                <w:ilvl w:val="0"/>
                <w:numId w:val="12"/>
              </w:numPr>
              <w:spacing w:line="288" w:lineRule="auto"/>
              <w:rPr>
                <w:rFonts w:ascii="Arial" w:hAnsi="Arial" w:cs="Arial"/>
                <w:b/>
                <w:bCs/>
                <w:color w:val="auto"/>
                <w:sz w:val="24"/>
                <w:szCs w:val="24"/>
              </w:rPr>
            </w:pPr>
            <w:r w:rsidRPr="0032430A">
              <w:rPr>
                <w:rFonts w:ascii="Arial" w:hAnsi="Arial" w:cs="Arial"/>
                <w:b/>
                <w:bCs/>
                <w:color w:val="auto"/>
                <w:sz w:val="24"/>
                <w:szCs w:val="24"/>
              </w:rPr>
              <w:t>Using our independent voice to reduce inequalities</w:t>
            </w:r>
          </w:p>
          <w:p w14:paraId="27F0CF5A" w14:textId="77777777" w:rsidR="002E3E21" w:rsidRPr="0032430A" w:rsidRDefault="002E3E21" w:rsidP="00A011F1">
            <w:pPr>
              <w:tabs>
                <w:tab w:val="left" w:pos="413"/>
              </w:tabs>
              <w:spacing w:after="0" w:line="288" w:lineRule="auto"/>
              <w:ind w:left="994"/>
              <w:contextualSpacing/>
              <w:rPr>
                <w:rFonts w:ascii="Arial" w:eastAsia="Times New Roman" w:hAnsi="Arial" w:cs="Arial"/>
                <w:sz w:val="24"/>
                <w:szCs w:val="24"/>
                <w:lang w:eastAsia="en-GB"/>
              </w:rPr>
            </w:pPr>
          </w:p>
        </w:tc>
      </w:tr>
      <w:tr w:rsidR="00F405CE" w:rsidRPr="0032430A" w14:paraId="14810058" w14:textId="77777777" w:rsidTr="05A74CAE">
        <w:trPr>
          <w:trHeight w:val="635"/>
        </w:trPr>
        <w:tc>
          <w:tcPr>
            <w:tcW w:w="3918" w:type="dxa"/>
            <w:vMerge w:val="restart"/>
            <w:shd w:val="clear" w:color="auto" w:fill="auto"/>
            <w:tcMar>
              <w:top w:w="72" w:type="dxa"/>
              <w:left w:w="144" w:type="dxa"/>
              <w:bottom w:w="72" w:type="dxa"/>
              <w:right w:w="144" w:type="dxa"/>
            </w:tcMar>
            <w:hideMark/>
          </w:tcPr>
          <w:p w14:paraId="7AD286E0" w14:textId="77777777" w:rsidR="007214BB" w:rsidRPr="0032430A" w:rsidRDefault="007214BB" w:rsidP="00A011F1">
            <w:pPr>
              <w:tabs>
                <w:tab w:val="left" w:pos="413"/>
              </w:tabs>
              <w:spacing w:after="0" w:line="288" w:lineRule="auto"/>
              <w:rPr>
                <w:rFonts w:ascii="Arial" w:eastAsia="Times New Roman" w:hAnsi="Arial" w:cs="Arial"/>
                <w:sz w:val="24"/>
                <w:szCs w:val="24"/>
                <w:lang w:eastAsia="en-GB"/>
              </w:rPr>
            </w:pPr>
            <w:r w:rsidRPr="0032430A">
              <w:rPr>
                <w:rFonts w:ascii="Arial" w:eastAsia="MS PGothic" w:hAnsi="Arial" w:cs="Arial"/>
                <w:kern w:val="24"/>
                <w:sz w:val="24"/>
                <w:szCs w:val="24"/>
                <w:lang w:val="en-US" w:eastAsia="en-GB"/>
              </w:rPr>
              <w:t>Strategic development</w:t>
            </w:r>
          </w:p>
        </w:tc>
        <w:tc>
          <w:tcPr>
            <w:tcW w:w="8904" w:type="dxa"/>
            <w:shd w:val="clear" w:color="auto" w:fill="auto"/>
            <w:tcMar>
              <w:top w:w="72" w:type="dxa"/>
              <w:left w:w="144" w:type="dxa"/>
              <w:bottom w:w="72" w:type="dxa"/>
              <w:right w:w="144" w:type="dxa"/>
            </w:tcMar>
            <w:hideMark/>
          </w:tcPr>
          <w:p w14:paraId="798D26D9" w14:textId="7B8E12E0" w:rsidR="006079B0" w:rsidRPr="0032430A" w:rsidRDefault="006079B0" w:rsidP="00A011F1">
            <w:pPr>
              <w:tabs>
                <w:tab w:val="left" w:pos="413"/>
              </w:tabs>
              <w:spacing w:after="0" w:line="288" w:lineRule="auto"/>
              <w:ind w:left="360"/>
              <w:contextualSpacing/>
              <w:rPr>
                <w:rFonts w:ascii="Arial" w:eastAsia="Times New Roman" w:hAnsi="Arial" w:cs="Arial"/>
                <w:sz w:val="24"/>
                <w:szCs w:val="24"/>
                <w:lang w:eastAsia="en-GB"/>
              </w:rPr>
            </w:pPr>
            <w:r w:rsidRPr="0032430A">
              <w:rPr>
                <w:rFonts w:ascii="Arial" w:eastAsia="MS PGothic" w:hAnsi="Arial" w:cs="Arial"/>
                <w:kern w:val="24"/>
                <w:sz w:val="24"/>
                <w:szCs w:val="24"/>
                <w:lang w:val="en-US" w:eastAsia="en-GB"/>
              </w:rPr>
              <w:t xml:space="preserve">Delivery </w:t>
            </w:r>
            <w:r w:rsidR="00941915" w:rsidRPr="0032430A">
              <w:rPr>
                <w:rFonts w:ascii="Arial" w:eastAsia="MS PGothic" w:hAnsi="Arial" w:cs="Arial"/>
                <w:kern w:val="24"/>
                <w:sz w:val="24"/>
                <w:szCs w:val="24"/>
                <w:lang w:val="en-US" w:eastAsia="en-GB"/>
              </w:rPr>
              <w:t>of tackling</w:t>
            </w:r>
            <w:r w:rsidRPr="0032430A">
              <w:rPr>
                <w:rFonts w:ascii="Arial" w:eastAsia="MS PGothic" w:hAnsi="Arial" w:cs="Arial"/>
                <w:kern w:val="24"/>
                <w:sz w:val="24"/>
                <w:szCs w:val="24"/>
                <w:lang w:val="en-US" w:eastAsia="en-GB"/>
              </w:rPr>
              <w:t xml:space="preserve"> inequalities priorities in </w:t>
            </w:r>
            <w:r w:rsidR="000811C9" w:rsidRPr="0032430A">
              <w:rPr>
                <w:rFonts w:ascii="Arial" w:eastAsia="MS PGothic" w:hAnsi="Arial" w:cs="Arial"/>
                <w:kern w:val="24"/>
                <w:sz w:val="24"/>
                <w:szCs w:val="24"/>
                <w:lang w:val="en-US" w:eastAsia="en-GB"/>
              </w:rPr>
              <w:t>Independent Voice</w:t>
            </w:r>
            <w:r w:rsidRPr="0032430A">
              <w:rPr>
                <w:rFonts w:ascii="Arial" w:eastAsia="MS PGothic" w:hAnsi="Arial" w:cs="Arial"/>
                <w:kern w:val="24"/>
                <w:sz w:val="24"/>
                <w:szCs w:val="24"/>
                <w:lang w:val="en-US" w:eastAsia="en-GB"/>
              </w:rPr>
              <w:t xml:space="preserve"> plan</w:t>
            </w:r>
          </w:p>
        </w:tc>
        <w:tc>
          <w:tcPr>
            <w:tcW w:w="1950" w:type="dxa"/>
            <w:shd w:val="clear" w:color="auto" w:fill="92D050"/>
            <w:tcMar>
              <w:top w:w="72" w:type="dxa"/>
              <w:left w:w="144" w:type="dxa"/>
              <w:bottom w:w="72" w:type="dxa"/>
              <w:right w:w="144" w:type="dxa"/>
            </w:tcMar>
          </w:tcPr>
          <w:p w14:paraId="3A561C1B" w14:textId="6F3E7E9E" w:rsidR="006079B0" w:rsidRPr="0032430A" w:rsidRDefault="00E45B7D" w:rsidP="00E45B7D">
            <w:pPr>
              <w:tabs>
                <w:tab w:val="left" w:pos="413"/>
              </w:tabs>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Green</w:t>
            </w:r>
          </w:p>
        </w:tc>
      </w:tr>
      <w:tr w:rsidR="00F405CE" w:rsidRPr="0032430A" w14:paraId="725CD44B" w14:textId="77777777" w:rsidTr="05A74CAE">
        <w:trPr>
          <w:trHeight w:val="420"/>
        </w:trPr>
        <w:tc>
          <w:tcPr>
            <w:tcW w:w="3918" w:type="dxa"/>
            <w:vMerge/>
            <w:tcMar>
              <w:top w:w="72" w:type="dxa"/>
              <w:left w:w="144" w:type="dxa"/>
              <w:bottom w:w="72" w:type="dxa"/>
              <w:right w:w="144" w:type="dxa"/>
            </w:tcMar>
            <w:hideMark/>
          </w:tcPr>
          <w:p w14:paraId="33F6DCDA" w14:textId="77777777" w:rsidR="007214BB" w:rsidRPr="0032430A" w:rsidRDefault="007214BB" w:rsidP="00A011F1">
            <w:pPr>
              <w:spacing w:after="0" w:line="288" w:lineRule="auto"/>
              <w:rPr>
                <w:rFonts w:ascii="Arial" w:eastAsia="Times New Roman" w:hAnsi="Arial" w:cs="Arial"/>
                <w:sz w:val="24"/>
                <w:szCs w:val="24"/>
                <w:lang w:eastAsia="en-GB"/>
              </w:rPr>
            </w:pPr>
          </w:p>
        </w:tc>
        <w:tc>
          <w:tcPr>
            <w:tcW w:w="8904" w:type="dxa"/>
            <w:shd w:val="clear" w:color="auto" w:fill="auto"/>
            <w:tcMar>
              <w:top w:w="72" w:type="dxa"/>
              <w:left w:w="144" w:type="dxa"/>
              <w:bottom w:w="72" w:type="dxa"/>
              <w:right w:w="144" w:type="dxa"/>
            </w:tcMar>
            <w:hideMark/>
          </w:tcPr>
          <w:p w14:paraId="20836978" w14:textId="08107EB7" w:rsidR="007214BB" w:rsidRPr="0032430A" w:rsidRDefault="007214BB" w:rsidP="05A74CAE">
            <w:pPr>
              <w:spacing w:after="0" w:line="288" w:lineRule="auto"/>
              <w:ind w:left="360"/>
              <w:rPr>
                <w:rFonts w:ascii="Arial" w:eastAsia="MS PGothic" w:hAnsi="Arial" w:cs="Arial"/>
                <w:sz w:val="24"/>
                <w:szCs w:val="24"/>
                <w:lang w:val="en-US" w:eastAsia="en-GB"/>
              </w:rPr>
            </w:pPr>
            <w:r w:rsidRPr="0032430A">
              <w:rPr>
                <w:rFonts w:ascii="Arial" w:eastAsia="MS PGothic" w:hAnsi="Arial" w:cs="Arial"/>
                <w:kern w:val="24"/>
                <w:sz w:val="24"/>
                <w:szCs w:val="24"/>
                <w:lang w:val="en-US" w:eastAsia="en-GB"/>
              </w:rPr>
              <w:t xml:space="preserve">Delivery of tackling inequalities priorities in </w:t>
            </w:r>
            <w:r w:rsidR="000811C9" w:rsidRPr="0032430A">
              <w:rPr>
                <w:rFonts w:ascii="Arial" w:eastAsia="MS PGothic" w:hAnsi="Arial" w:cs="Arial"/>
                <w:kern w:val="24"/>
                <w:sz w:val="24"/>
                <w:szCs w:val="24"/>
                <w:lang w:val="en-US" w:eastAsia="en-GB"/>
              </w:rPr>
              <w:t xml:space="preserve">Research </w:t>
            </w:r>
            <w:r w:rsidRPr="0032430A">
              <w:rPr>
                <w:rFonts w:ascii="Arial" w:eastAsia="MS PGothic" w:hAnsi="Arial" w:cs="Arial"/>
                <w:kern w:val="24"/>
                <w:sz w:val="24"/>
                <w:szCs w:val="24"/>
                <w:lang w:val="en-US" w:eastAsia="en-GB"/>
              </w:rPr>
              <w:t>&amp;</w:t>
            </w:r>
            <w:r w:rsidR="000811C9" w:rsidRPr="0032430A">
              <w:rPr>
                <w:rFonts w:ascii="Arial" w:eastAsia="MS PGothic" w:hAnsi="Arial" w:cs="Arial"/>
                <w:kern w:val="24"/>
                <w:sz w:val="24"/>
                <w:szCs w:val="24"/>
                <w:lang w:val="en-US" w:eastAsia="en-GB"/>
              </w:rPr>
              <w:t xml:space="preserve"> </w:t>
            </w:r>
            <w:r w:rsidRPr="0032430A">
              <w:rPr>
                <w:rFonts w:ascii="Arial" w:eastAsia="MS PGothic" w:hAnsi="Arial" w:cs="Arial"/>
                <w:kern w:val="24"/>
                <w:sz w:val="24"/>
                <w:szCs w:val="24"/>
                <w:lang w:val="en-US" w:eastAsia="en-GB"/>
              </w:rPr>
              <w:t>Development plan</w:t>
            </w:r>
          </w:p>
        </w:tc>
        <w:tc>
          <w:tcPr>
            <w:tcW w:w="1950" w:type="dxa"/>
            <w:shd w:val="clear" w:color="auto" w:fill="FFC000" w:themeFill="accent4"/>
            <w:tcMar>
              <w:top w:w="72" w:type="dxa"/>
              <w:left w:w="144" w:type="dxa"/>
              <w:bottom w:w="72" w:type="dxa"/>
              <w:right w:w="144" w:type="dxa"/>
            </w:tcMar>
          </w:tcPr>
          <w:p w14:paraId="686B2AFB" w14:textId="6919CCBF" w:rsidR="006079B0" w:rsidRPr="0032430A" w:rsidRDefault="00E45B7D" w:rsidP="00E45B7D">
            <w:pPr>
              <w:tabs>
                <w:tab w:val="left" w:pos="413"/>
              </w:tabs>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Amber</w:t>
            </w:r>
          </w:p>
        </w:tc>
      </w:tr>
      <w:tr w:rsidR="00F405CE" w:rsidRPr="0032430A" w14:paraId="0CCD533B" w14:textId="77777777" w:rsidTr="05A74CAE">
        <w:trPr>
          <w:trHeight w:val="542"/>
        </w:trPr>
        <w:tc>
          <w:tcPr>
            <w:tcW w:w="3918" w:type="dxa"/>
            <w:shd w:val="clear" w:color="auto" w:fill="auto"/>
            <w:tcMar>
              <w:top w:w="72" w:type="dxa"/>
              <w:left w:w="144" w:type="dxa"/>
              <w:bottom w:w="72" w:type="dxa"/>
              <w:right w:w="144" w:type="dxa"/>
            </w:tcMar>
            <w:hideMark/>
          </w:tcPr>
          <w:p w14:paraId="6E493DC6" w14:textId="77777777" w:rsidR="006079B0" w:rsidRPr="0032430A" w:rsidRDefault="006079B0" w:rsidP="00A011F1">
            <w:pPr>
              <w:tabs>
                <w:tab w:val="left" w:pos="413"/>
              </w:tabs>
              <w:spacing w:after="0" w:line="288" w:lineRule="auto"/>
              <w:rPr>
                <w:rFonts w:ascii="Arial" w:eastAsia="Times New Roman" w:hAnsi="Arial" w:cs="Arial"/>
                <w:sz w:val="24"/>
                <w:szCs w:val="24"/>
                <w:lang w:eastAsia="en-GB"/>
              </w:rPr>
            </w:pPr>
            <w:r w:rsidRPr="0032430A">
              <w:rPr>
                <w:rFonts w:ascii="Arial" w:eastAsia="MS PGothic" w:hAnsi="Arial" w:cs="Arial"/>
                <w:kern w:val="24"/>
                <w:sz w:val="24"/>
                <w:szCs w:val="24"/>
                <w:lang w:val="en-US" w:eastAsia="en-GB"/>
              </w:rPr>
              <w:t>Tackling inequalities in local areas</w:t>
            </w:r>
          </w:p>
        </w:tc>
        <w:tc>
          <w:tcPr>
            <w:tcW w:w="8904" w:type="dxa"/>
            <w:shd w:val="clear" w:color="auto" w:fill="auto"/>
            <w:tcMar>
              <w:top w:w="72" w:type="dxa"/>
              <w:left w:w="144" w:type="dxa"/>
              <w:bottom w:w="72" w:type="dxa"/>
              <w:right w:w="144" w:type="dxa"/>
            </w:tcMar>
            <w:hideMark/>
          </w:tcPr>
          <w:p w14:paraId="0AD3D0F1" w14:textId="77777777" w:rsidR="006079B0" w:rsidRPr="0032430A" w:rsidRDefault="006079B0" w:rsidP="00A011F1">
            <w:pPr>
              <w:spacing w:after="0" w:line="288" w:lineRule="auto"/>
              <w:ind w:left="360"/>
              <w:contextualSpacing/>
              <w:rPr>
                <w:rFonts w:ascii="Arial" w:eastAsia="Times New Roman" w:hAnsi="Arial" w:cs="Arial"/>
                <w:sz w:val="24"/>
                <w:szCs w:val="24"/>
                <w:lang w:eastAsia="en-GB"/>
              </w:rPr>
            </w:pPr>
            <w:r w:rsidRPr="0032430A">
              <w:rPr>
                <w:rFonts w:ascii="Arial" w:eastAsia="MS PGothic" w:hAnsi="Arial" w:cs="Arial"/>
                <w:kern w:val="24"/>
                <w:sz w:val="24"/>
                <w:szCs w:val="24"/>
                <w:lang w:val="en-US" w:eastAsia="en-GB"/>
              </w:rPr>
              <w:t>Develop communication about role of ICSs in reducing inequalities in ICS nationally, including potential joint work with EHRC and NHSEI</w:t>
            </w:r>
          </w:p>
        </w:tc>
        <w:tc>
          <w:tcPr>
            <w:tcW w:w="1950" w:type="dxa"/>
            <w:shd w:val="clear" w:color="auto" w:fill="FFC000" w:themeFill="accent4"/>
            <w:tcMar>
              <w:top w:w="72" w:type="dxa"/>
              <w:left w:w="144" w:type="dxa"/>
              <w:bottom w:w="72" w:type="dxa"/>
              <w:right w:w="144" w:type="dxa"/>
            </w:tcMar>
          </w:tcPr>
          <w:p w14:paraId="7FE845DE" w14:textId="54987710" w:rsidR="006079B0" w:rsidRPr="0032430A" w:rsidRDefault="00E45B7D" w:rsidP="00E45B7D">
            <w:pPr>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Amber</w:t>
            </w:r>
          </w:p>
        </w:tc>
      </w:tr>
      <w:tr w:rsidR="00F405CE" w:rsidRPr="0032430A" w14:paraId="400D4521" w14:textId="77777777" w:rsidTr="05A74CAE">
        <w:trPr>
          <w:trHeight w:val="395"/>
        </w:trPr>
        <w:tc>
          <w:tcPr>
            <w:tcW w:w="3918" w:type="dxa"/>
            <w:shd w:val="clear" w:color="auto" w:fill="auto"/>
            <w:tcMar>
              <w:top w:w="72" w:type="dxa"/>
              <w:left w:w="144" w:type="dxa"/>
              <w:bottom w:w="72" w:type="dxa"/>
              <w:right w:w="144" w:type="dxa"/>
            </w:tcMar>
            <w:hideMark/>
          </w:tcPr>
          <w:p w14:paraId="3BFEC265" w14:textId="77777777" w:rsidR="006079B0" w:rsidRPr="0032430A" w:rsidRDefault="006079B0" w:rsidP="00A011F1">
            <w:pPr>
              <w:tabs>
                <w:tab w:val="left" w:pos="413"/>
              </w:tabs>
              <w:spacing w:after="0" w:line="288" w:lineRule="auto"/>
              <w:rPr>
                <w:rFonts w:ascii="Arial" w:eastAsia="Times New Roman" w:hAnsi="Arial" w:cs="Arial"/>
                <w:sz w:val="24"/>
                <w:szCs w:val="24"/>
                <w:lang w:eastAsia="en-GB"/>
              </w:rPr>
            </w:pPr>
            <w:r w:rsidRPr="0032430A">
              <w:rPr>
                <w:rFonts w:ascii="Arial" w:eastAsia="MS PGothic" w:hAnsi="Arial" w:cs="Arial"/>
                <w:kern w:val="24"/>
                <w:sz w:val="24"/>
                <w:szCs w:val="24"/>
                <w:lang w:eastAsia="en-GB"/>
              </w:rPr>
              <w:t>National reporting</w:t>
            </w:r>
          </w:p>
        </w:tc>
        <w:tc>
          <w:tcPr>
            <w:tcW w:w="8904" w:type="dxa"/>
            <w:shd w:val="clear" w:color="auto" w:fill="auto"/>
            <w:tcMar>
              <w:top w:w="72" w:type="dxa"/>
              <w:left w:w="144" w:type="dxa"/>
              <w:bottom w:w="72" w:type="dxa"/>
              <w:right w:w="144" w:type="dxa"/>
            </w:tcMar>
            <w:hideMark/>
          </w:tcPr>
          <w:p w14:paraId="37746CDE" w14:textId="77777777" w:rsidR="006079B0" w:rsidRPr="0032430A" w:rsidRDefault="006079B0" w:rsidP="00A011F1">
            <w:pPr>
              <w:spacing w:after="0" w:line="288" w:lineRule="auto"/>
              <w:ind w:left="360"/>
              <w:contextualSpacing/>
              <w:rPr>
                <w:rFonts w:ascii="Arial" w:eastAsia="Times New Roman" w:hAnsi="Arial" w:cs="Arial"/>
                <w:sz w:val="24"/>
                <w:szCs w:val="24"/>
                <w:lang w:eastAsia="en-GB"/>
              </w:rPr>
            </w:pPr>
            <w:r w:rsidRPr="0032430A">
              <w:rPr>
                <w:rFonts w:ascii="Arial" w:eastAsia="MS PGothic" w:hAnsi="Arial" w:cs="Arial"/>
                <w:kern w:val="24"/>
                <w:sz w:val="24"/>
                <w:szCs w:val="24"/>
                <w:lang w:val="en-US" w:eastAsia="en-GB"/>
              </w:rPr>
              <w:t>Develop inequalities theme in State of Care</w:t>
            </w:r>
          </w:p>
        </w:tc>
        <w:tc>
          <w:tcPr>
            <w:tcW w:w="1950" w:type="dxa"/>
            <w:shd w:val="clear" w:color="auto" w:fill="92D050"/>
            <w:tcMar>
              <w:top w:w="72" w:type="dxa"/>
              <w:left w:w="144" w:type="dxa"/>
              <w:bottom w:w="72" w:type="dxa"/>
              <w:right w:w="144" w:type="dxa"/>
            </w:tcMar>
          </w:tcPr>
          <w:p w14:paraId="50B16219" w14:textId="1A47E85A" w:rsidR="006079B0" w:rsidRPr="0032430A" w:rsidRDefault="00E45B7D" w:rsidP="00E45B7D">
            <w:pPr>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Green</w:t>
            </w:r>
          </w:p>
        </w:tc>
      </w:tr>
      <w:tr w:rsidR="00F405CE" w:rsidRPr="0032430A" w14:paraId="11BFA678" w14:textId="77777777" w:rsidTr="05A74CAE">
        <w:trPr>
          <w:trHeight w:val="395"/>
        </w:trPr>
        <w:tc>
          <w:tcPr>
            <w:tcW w:w="3918" w:type="dxa"/>
            <w:shd w:val="clear" w:color="auto" w:fill="auto"/>
            <w:tcMar>
              <w:top w:w="72" w:type="dxa"/>
              <w:left w:w="144" w:type="dxa"/>
              <w:bottom w:w="72" w:type="dxa"/>
              <w:right w:w="144" w:type="dxa"/>
            </w:tcMar>
          </w:tcPr>
          <w:p w14:paraId="30814F22" w14:textId="038A7F47" w:rsidR="007214BB" w:rsidRPr="0032430A" w:rsidRDefault="007214BB" w:rsidP="00A011F1">
            <w:pPr>
              <w:tabs>
                <w:tab w:val="left" w:pos="413"/>
              </w:tabs>
              <w:spacing w:after="0" w:line="288" w:lineRule="auto"/>
              <w:rPr>
                <w:rFonts w:ascii="Arial" w:eastAsia="MS PGothic" w:hAnsi="Arial" w:cs="Arial"/>
                <w:kern w:val="24"/>
                <w:sz w:val="24"/>
                <w:szCs w:val="24"/>
                <w:lang w:eastAsia="en-GB"/>
              </w:rPr>
            </w:pPr>
            <w:r w:rsidRPr="0032430A">
              <w:rPr>
                <w:rFonts w:ascii="Arial" w:eastAsia="MS PGothic" w:hAnsi="Arial" w:cs="Arial"/>
                <w:kern w:val="24"/>
                <w:sz w:val="24"/>
                <w:szCs w:val="24"/>
                <w:lang w:eastAsia="en-GB"/>
              </w:rPr>
              <w:t>Using findings to improve how we address inequalities in our own regulation</w:t>
            </w:r>
          </w:p>
        </w:tc>
        <w:tc>
          <w:tcPr>
            <w:tcW w:w="8904" w:type="dxa"/>
            <w:shd w:val="clear" w:color="auto" w:fill="auto"/>
            <w:tcMar>
              <w:top w:w="72" w:type="dxa"/>
              <w:left w:w="144" w:type="dxa"/>
              <w:bottom w:w="72" w:type="dxa"/>
              <w:right w:w="144" w:type="dxa"/>
            </w:tcMar>
          </w:tcPr>
          <w:p w14:paraId="6BC59D9F" w14:textId="73416A9B" w:rsidR="007214BB" w:rsidRPr="0032430A" w:rsidRDefault="006079B0" w:rsidP="00A011F1">
            <w:pPr>
              <w:spacing w:after="0" w:line="288" w:lineRule="auto"/>
              <w:ind w:left="360"/>
              <w:contextualSpacing/>
              <w:rPr>
                <w:rFonts w:ascii="Arial" w:eastAsia="MS PGothic" w:hAnsi="Arial" w:cs="Arial"/>
                <w:kern w:val="24"/>
                <w:sz w:val="24"/>
                <w:szCs w:val="24"/>
                <w:lang w:val="en-US" w:eastAsia="en-GB"/>
              </w:rPr>
            </w:pPr>
            <w:r w:rsidRPr="0032430A">
              <w:rPr>
                <w:rFonts w:ascii="Arial" w:eastAsia="MS PGothic" w:hAnsi="Arial" w:cs="Arial"/>
                <w:kern w:val="24"/>
                <w:sz w:val="24"/>
                <w:szCs w:val="24"/>
                <w:lang w:val="en-US" w:eastAsia="en-GB"/>
              </w:rPr>
              <w:t>Develop narratives about addressing inequalities within strategy themes on safety and improvement</w:t>
            </w:r>
          </w:p>
        </w:tc>
        <w:tc>
          <w:tcPr>
            <w:tcW w:w="1950" w:type="dxa"/>
            <w:shd w:val="clear" w:color="auto" w:fill="92D050"/>
            <w:tcMar>
              <w:top w:w="72" w:type="dxa"/>
              <w:left w:w="144" w:type="dxa"/>
              <w:bottom w:w="72" w:type="dxa"/>
              <w:right w:w="144" w:type="dxa"/>
            </w:tcMar>
          </w:tcPr>
          <w:p w14:paraId="173CC78A" w14:textId="32874004" w:rsidR="007214BB" w:rsidRPr="0032430A" w:rsidRDefault="00E45B7D" w:rsidP="00E45B7D">
            <w:pPr>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Green</w:t>
            </w:r>
          </w:p>
        </w:tc>
      </w:tr>
    </w:tbl>
    <w:p w14:paraId="09E04F5D" w14:textId="233CABF1" w:rsidR="003D7E42" w:rsidRDefault="003D7E42" w:rsidP="00A510DB">
      <w:pPr>
        <w:spacing w:line="420" w:lineRule="atLeast"/>
        <w:rPr>
          <w:rFonts w:ascii="Arial" w:hAnsi="Arial" w:cs="Arial"/>
          <w:b/>
          <w:bCs/>
          <w:color w:val="000000" w:themeColor="text1"/>
          <w:sz w:val="28"/>
          <w:szCs w:val="28"/>
          <w:u w:val="single"/>
        </w:rPr>
      </w:pPr>
    </w:p>
    <w:tbl>
      <w:tblPr>
        <w:tblW w:w="14745" w:type="dxa"/>
        <w:tblInd w:w="-1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20" w:firstRow="1" w:lastRow="0" w:firstColumn="0" w:lastColumn="0" w:noHBand="0" w:noVBand="1"/>
      </w:tblPr>
      <w:tblGrid>
        <w:gridCol w:w="3881"/>
        <w:gridCol w:w="8879"/>
        <w:gridCol w:w="1985"/>
      </w:tblGrid>
      <w:tr w:rsidR="00E448D4" w:rsidRPr="0032430A" w14:paraId="5B85F7DD" w14:textId="77777777" w:rsidTr="62B52220">
        <w:trPr>
          <w:trHeight w:val="635"/>
        </w:trPr>
        <w:tc>
          <w:tcPr>
            <w:tcW w:w="14745" w:type="dxa"/>
            <w:gridSpan w:val="3"/>
            <w:shd w:val="clear" w:color="auto" w:fill="auto"/>
            <w:tcMar>
              <w:top w:w="72" w:type="dxa"/>
              <w:left w:w="144" w:type="dxa"/>
              <w:bottom w:w="72" w:type="dxa"/>
              <w:right w:w="144" w:type="dxa"/>
            </w:tcMar>
          </w:tcPr>
          <w:p w14:paraId="5253A763" w14:textId="476EA53D" w:rsidR="00E448D4" w:rsidRPr="0032430A" w:rsidRDefault="00E448D4" w:rsidP="00E448D4">
            <w:pPr>
              <w:pStyle w:val="Heading1"/>
              <w:numPr>
                <w:ilvl w:val="0"/>
                <w:numId w:val="12"/>
              </w:numPr>
              <w:spacing w:line="288" w:lineRule="auto"/>
              <w:rPr>
                <w:rFonts w:ascii="Arial" w:hAnsi="Arial" w:cs="Arial"/>
                <w:b/>
                <w:bCs/>
                <w:color w:val="auto"/>
                <w:sz w:val="24"/>
                <w:szCs w:val="24"/>
              </w:rPr>
            </w:pPr>
            <w:r>
              <w:rPr>
                <w:rFonts w:ascii="Arial" w:hAnsi="Arial" w:cs="Arial"/>
                <w:b/>
                <w:bCs/>
                <w:color w:val="auto"/>
                <w:sz w:val="24"/>
                <w:szCs w:val="24"/>
              </w:rPr>
              <w:t>Our Inclusive Future</w:t>
            </w:r>
          </w:p>
          <w:p w14:paraId="34091561" w14:textId="77777777" w:rsidR="00E448D4" w:rsidRPr="0032430A" w:rsidRDefault="00E448D4" w:rsidP="00216EE5">
            <w:pPr>
              <w:tabs>
                <w:tab w:val="left" w:pos="413"/>
              </w:tabs>
              <w:spacing w:after="0" w:line="288" w:lineRule="auto"/>
              <w:ind w:left="994"/>
              <w:contextualSpacing/>
              <w:rPr>
                <w:rFonts w:ascii="Arial" w:eastAsia="Times New Roman" w:hAnsi="Arial" w:cs="Arial"/>
                <w:sz w:val="24"/>
                <w:szCs w:val="24"/>
                <w:lang w:eastAsia="en-GB"/>
              </w:rPr>
            </w:pPr>
          </w:p>
        </w:tc>
      </w:tr>
      <w:tr w:rsidR="00E448D4" w:rsidRPr="0032430A" w14:paraId="78788DE0" w14:textId="77777777" w:rsidTr="62B52220">
        <w:trPr>
          <w:trHeight w:val="635"/>
        </w:trPr>
        <w:tc>
          <w:tcPr>
            <w:tcW w:w="3881" w:type="dxa"/>
            <w:vMerge w:val="restart"/>
            <w:shd w:val="clear" w:color="auto" w:fill="auto"/>
            <w:tcMar>
              <w:top w:w="72" w:type="dxa"/>
              <w:left w:w="144" w:type="dxa"/>
              <w:bottom w:w="72" w:type="dxa"/>
              <w:right w:w="144" w:type="dxa"/>
            </w:tcMar>
          </w:tcPr>
          <w:p w14:paraId="3D82BA05" w14:textId="77777777" w:rsidR="00E448D4" w:rsidRPr="0032430A" w:rsidRDefault="00E448D4" w:rsidP="00216EE5">
            <w:pPr>
              <w:tabs>
                <w:tab w:val="left" w:pos="413"/>
              </w:tabs>
              <w:spacing w:after="0" w:line="288" w:lineRule="auto"/>
              <w:rPr>
                <w:rFonts w:ascii="Arial" w:eastAsia="Times New Roman" w:hAnsi="Arial" w:cs="Arial"/>
                <w:sz w:val="24"/>
                <w:szCs w:val="24"/>
                <w:lang w:eastAsia="en-GB"/>
              </w:rPr>
            </w:pPr>
            <w:r>
              <w:rPr>
                <w:rFonts w:ascii="Arial" w:eastAsia="Times New Roman" w:hAnsi="Arial" w:cs="Arial"/>
                <w:sz w:val="24"/>
                <w:szCs w:val="24"/>
                <w:lang w:eastAsia="en-GB"/>
              </w:rPr>
              <w:t>Inclusive Leadership and Accountability</w:t>
            </w:r>
          </w:p>
        </w:tc>
        <w:tc>
          <w:tcPr>
            <w:tcW w:w="8879" w:type="dxa"/>
            <w:shd w:val="clear" w:color="auto" w:fill="auto"/>
            <w:tcMar>
              <w:top w:w="72" w:type="dxa"/>
              <w:left w:w="144" w:type="dxa"/>
              <w:bottom w:w="72" w:type="dxa"/>
              <w:right w:w="144" w:type="dxa"/>
            </w:tcMar>
          </w:tcPr>
          <w:p w14:paraId="5B271866" w14:textId="77777777" w:rsidR="00E448D4" w:rsidRPr="00D94EE3" w:rsidRDefault="00E448D4" w:rsidP="00216EE5">
            <w:pPr>
              <w:tabs>
                <w:tab w:val="left" w:pos="413"/>
              </w:tabs>
              <w:spacing w:after="0" w:line="288" w:lineRule="auto"/>
              <w:ind w:left="363"/>
              <w:contextualSpacing/>
              <w:rPr>
                <w:rFonts w:ascii="Arial" w:eastAsia="Times New Roman" w:hAnsi="Arial" w:cs="Arial"/>
                <w:sz w:val="24"/>
                <w:szCs w:val="24"/>
                <w:highlight w:val="yellow"/>
                <w:lang w:eastAsia="en-GB"/>
              </w:rPr>
            </w:pPr>
            <w:r w:rsidRPr="00F12ECB">
              <w:rPr>
                <w:rFonts w:ascii="Arial" w:eastAsia="MS PGothic" w:hAnsi="Arial" w:cs="Arial"/>
                <w:kern w:val="24"/>
                <w:sz w:val="24"/>
                <w:szCs w:val="24"/>
                <w:lang w:eastAsia="en-GB"/>
              </w:rPr>
              <w:t>Introduce the second cohort of Reverse Mentoring targeted at our Senior Leaders and Black and minority ethnic and/or disabled colleagues.</w:t>
            </w:r>
          </w:p>
        </w:tc>
        <w:tc>
          <w:tcPr>
            <w:tcW w:w="1985" w:type="dxa"/>
            <w:shd w:val="clear" w:color="auto" w:fill="FFC000" w:themeFill="accent4"/>
            <w:tcMar>
              <w:top w:w="72" w:type="dxa"/>
              <w:left w:w="144" w:type="dxa"/>
              <w:bottom w:w="72" w:type="dxa"/>
              <w:right w:w="144" w:type="dxa"/>
            </w:tcMar>
          </w:tcPr>
          <w:p w14:paraId="05DFDEF2" w14:textId="1F30A3D0" w:rsidR="00E448D4" w:rsidRPr="0032430A" w:rsidRDefault="00E448D4" w:rsidP="00216EE5">
            <w:pPr>
              <w:tabs>
                <w:tab w:val="left" w:pos="413"/>
              </w:tabs>
              <w:spacing w:after="0" w:line="240" w:lineRule="auto"/>
              <w:contextualSpacing/>
              <w:rPr>
                <w:rFonts w:ascii="Arial" w:eastAsia="Times New Roman" w:hAnsi="Arial" w:cs="Arial"/>
                <w:sz w:val="24"/>
                <w:szCs w:val="24"/>
                <w:lang w:eastAsia="en-GB"/>
              </w:rPr>
            </w:pPr>
            <w:r w:rsidRPr="00F12ECB">
              <w:rPr>
                <w:rFonts w:ascii="Arial" w:eastAsia="Times New Roman" w:hAnsi="Arial" w:cs="Arial"/>
                <w:sz w:val="24"/>
                <w:szCs w:val="24"/>
                <w:lang w:eastAsia="en-GB"/>
              </w:rPr>
              <w:t>Amber</w:t>
            </w:r>
            <w:r w:rsidR="00BF416B">
              <w:rPr>
                <w:rFonts w:ascii="Arial" w:eastAsia="Times New Roman" w:hAnsi="Arial" w:cs="Arial"/>
                <w:sz w:val="24"/>
                <w:szCs w:val="24"/>
                <w:lang w:eastAsia="en-GB"/>
              </w:rPr>
              <w:t xml:space="preserve"> </w:t>
            </w:r>
          </w:p>
        </w:tc>
      </w:tr>
      <w:tr w:rsidR="00E448D4" w:rsidRPr="00582B5D" w14:paraId="52D84DD9" w14:textId="77777777" w:rsidTr="62B52220">
        <w:trPr>
          <w:trHeight w:val="635"/>
        </w:trPr>
        <w:tc>
          <w:tcPr>
            <w:tcW w:w="3881" w:type="dxa"/>
            <w:vMerge/>
            <w:tcMar>
              <w:top w:w="72" w:type="dxa"/>
              <w:left w:w="144" w:type="dxa"/>
              <w:bottom w:w="72" w:type="dxa"/>
              <w:right w:w="144" w:type="dxa"/>
            </w:tcMar>
          </w:tcPr>
          <w:p w14:paraId="43E7D1C5" w14:textId="77777777" w:rsidR="00E448D4" w:rsidRDefault="00E448D4" w:rsidP="00216EE5">
            <w:pPr>
              <w:tabs>
                <w:tab w:val="left" w:pos="413"/>
              </w:tabs>
              <w:spacing w:after="0" w:line="288" w:lineRule="auto"/>
              <w:rPr>
                <w:rFonts w:ascii="Arial" w:eastAsia="Times New Roman" w:hAnsi="Arial" w:cs="Arial"/>
                <w:sz w:val="24"/>
                <w:szCs w:val="24"/>
                <w:lang w:eastAsia="en-GB"/>
              </w:rPr>
            </w:pPr>
          </w:p>
        </w:tc>
        <w:tc>
          <w:tcPr>
            <w:tcW w:w="8879" w:type="dxa"/>
            <w:shd w:val="clear" w:color="auto" w:fill="auto"/>
            <w:tcMar>
              <w:top w:w="72" w:type="dxa"/>
              <w:left w:w="144" w:type="dxa"/>
              <w:bottom w:w="72" w:type="dxa"/>
              <w:right w:w="144" w:type="dxa"/>
            </w:tcMar>
          </w:tcPr>
          <w:p w14:paraId="2F675519" w14:textId="77777777" w:rsidR="00E448D4" w:rsidRPr="00BD097F" w:rsidRDefault="00E448D4" w:rsidP="00216EE5">
            <w:pPr>
              <w:tabs>
                <w:tab w:val="left" w:pos="413"/>
              </w:tabs>
              <w:spacing w:after="0" w:line="288" w:lineRule="auto"/>
              <w:ind w:left="363"/>
              <w:contextualSpacing/>
              <w:rPr>
                <w:rFonts w:ascii="Arial" w:eastAsia="MS PGothic" w:hAnsi="Arial" w:cs="Arial"/>
                <w:kern w:val="24"/>
                <w:sz w:val="24"/>
                <w:szCs w:val="24"/>
                <w:lang w:eastAsia="en-GB"/>
              </w:rPr>
            </w:pPr>
            <w:r w:rsidRPr="00477BC6">
              <w:rPr>
                <w:rFonts w:ascii="Arial" w:eastAsia="MS PGothic" w:hAnsi="Arial" w:cs="Arial"/>
                <w:kern w:val="24"/>
                <w:sz w:val="24"/>
                <w:szCs w:val="24"/>
                <w:lang w:eastAsia="en-GB"/>
              </w:rPr>
              <w:t>Develop and introduce the “Inclusive Leadership Pathway” (ILP). The ILP has been designed for disabled and/or Black and Minority Ethnic colleagues. It includes stretch projects, funded learning, and coaches.</w:t>
            </w:r>
          </w:p>
        </w:tc>
        <w:tc>
          <w:tcPr>
            <w:tcW w:w="1985" w:type="dxa"/>
            <w:shd w:val="clear" w:color="auto" w:fill="92D050"/>
            <w:tcMar>
              <w:top w:w="72" w:type="dxa"/>
              <w:left w:w="144" w:type="dxa"/>
              <w:bottom w:w="72" w:type="dxa"/>
              <w:right w:w="144" w:type="dxa"/>
            </w:tcMar>
          </w:tcPr>
          <w:p w14:paraId="2A387474" w14:textId="77777777" w:rsidR="00E448D4" w:rsidRPr="00582B5D" w:rsidRDefault="00E448D4" w:rsidP="00216EE5">
            <w:pPr>
              <w:tabs>
                <w:tab w:val="left" w:pos="413"/>
              </w:tabs>
              <w:spacing w:after="0" w:line="240" w:lineRule="auto"/>
              <w:contextualSpacing/>
              <w:rPr>
                <w:rFonts w:ascii="Arial" w:eastAsia="Times New Roman" w:hAnsi="Arial" w:cs="Arial"/>
                <w:i/>
                <w:iCs/>
                <w:sz w:val="24"/>
                <w:szCs w:val="24"/>
                <w:lang w:eastAsia="en-GB"/>
              </w:rPr>
            </w:pPr>
            <w:r>
              <w:rPr>
                <w:rFonts w:ascii="Arial" w:eastAsia="Times New Roman" w:hAnsi="Arial" w:cs="Arial"/>
                <w:sz w:val="24"/>
                <w:szCs w:val="24"/>
                <w:lang w:eastAsia="en-GB"/>
              </w:rPr>
              <w:t>Green</w:t>
            </w:r>
          </w:p>
        </w:tc>
      </w:tr>
      <w:tr w:rsidR="00E448D4" w14:paraId="126D1052" w14:textId="77777777" w:rsidTr="62B52220">
        <w:trPr>
          <w:trHeight w:val="635"/>
        </w:trPr>
        <w:tc>
          <w:tcPr>
            <w:tcW w:w="3881" w:type="dxa"/>
            <w:vMerge/>
            <w:tcMar>
              <w:top w:w="72" w:type="dxa"/>
              <w:left w:w="144" w:type="dxa"/>
              <w:bottom w:w="72" w:type="dxa"/>
              <w:right w:w="144" w:type="dxa"/>
            </w:tcMar>
          </w:tcPr>
          <w:p w14:paraId="4F2F5127" w14:textId="77777777" w:rsidR="00E448D4" w:rsidRDefault="00E448D4" w:rsidP="00216EE5">
            <w:pPr>
              <w:tabs>
                <w:tab w:val="left" w:pos="413"/>
              </w:tabs>
              <w:spacing w:after="0" w:line="288" w:lineRule="auto"/>
              <w:rPr>
                <w:rFonts w:ascii="Arial" w:eastAsia="Times New Roman" w:hAnsi="Arial" w:cs="Arial"/>
                <w:sz w:val="24"/>
                <w:szCs w:val="24"/>
                <w:lang w:eastAsia="en-GB"/>
              </w:rPr>
            </w:pPr>
          </w:p>
        </w:tc>
        <w:tc>
          <w:tcPr>
            <w:tcW w:w="8879" w:type="dxa"/>
            <w:shd w:val="clear" w:color="auto" w:fill="auto"/>
            <w:tcMar>
              <w:top w:w="72" w:type="dxa"/>
              <w:left w:w="144" w:type="dxa"/>
              <w:bottom w:w="72" w:type="dxa"/>
              <w:right w:w="144" w:type="dxa"/>
            </w:tcMar>
          </w:tcPr>
          <w:p w14:paraId="65491E68" w14:textId="6F667FB1" w:rsidR="00E448D4" w:rsidRPr="00477BC6" w:rsidRDefault="00CA593E" w:rsidP="00CA593E">
            <w:pPr>
              <w:tabs>
                <w:tab w:val="left" w:pos="413"/>
              </w:tabs>
              <w:spacing w:after="0" w:line="288" w:lineRule="auto"/>
              <w:ind w:left="363"/>
              <w:contextualSpacing/>
              <w:rPr>
                <w:rFonts w:ascii="Arial" w:eastAsia="MS PGothic" w:hAnsi="Arial" w:cs="Arial"/>
                <w:kern w:val="24"/>
                <w:sz w:val="24"/>
                <w:szCs w:val="24"/>
                <w:lang w:eastAsia="en-GB"/>
              </w:rPr>
            </w:pPr>
            <w:r w:rsidRPr="00CA593E">
              <w:rPr>
                <w:rFonts w:ascii="Arial" w:eastAsia="MS PGothic" w:hAnsi="Arial" w:cs="Arial"/>
                <w:kern w:val="24"/>
                <w:sz w:val="24"/>
                <w:szCs w:val="24"/>
                <w:lang w:eastAsia="en-GB"/>
              </w:rPr>
              <w:t>Procure, design and develop an inclusive Leadership Programme. Everybody will be exemplars of our behavioural framework, our cultural principles and our values. Diversity and inclusi</w:t>
            </w:r>
            <w:r w:rsidR="00047D6A">
              <w:rPr>
                <w:rFonts w:ascii="Arial" w:eastAsia="MS PGothic" w:hAnsi="Arial" w:cs="Arial"/>
                <w:kern w:val="24"/>
                <w:sz w:val="24"/>
                <w:szCs w:val="24"/>
                <w:lang w:eastAsia="en-GB"/>
              </w:rPr>
              <w:t>ve leadership</w:t>
            </w:r>
            <w:r w:rsidRPr="00CA593E">
              <w:rPr>
                <w:rFonts w:ascii="Arial" w:eastAsia="MS PGothic" w:hAnsi="Arial" w:cs="Arial"/>
                <w:kern w:val="24"/>
                <w:sz w:val="24"/>
                <w:szCs w:val="24"/>
                <w:lang w:eastAsia="en-GB"/>
              </w:rPr>
              <w:t xml:space="preserve"> will be a golden thread running through the programme.</w:t>
            </w:r>
          </w:p>
        </w:tc>
        <w:tc>
          <w:tcPr>
            <w:tcW w:w="1985" w:type="dxa"/>
            <w:shd w:val="clear" w:color="auto" w:fill="92D050"/>
            <w:tcMar>
              <w:top w:w="72" w:type="dxa"/>
              <w:left w:w="144" w:type="dxa"/>
              <w:bottom w:w="72" w:type="dxa"/>
              <w:right w:w="144" w:type="dxa"/>
            </w:tcMar>
          </w:tcPr>
          <w:p w14:paraId="4120626F" w14:textId="6401E2F7" w:rsidR="00E448D4" w:rsidRDefault="00C00A39" w:rsidP="00216EE5">
            <w:pPr>
              <w:tabs>
                <w:tab w:val="left" w:pos="413"/>
              </w:tabs>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Green</w:t>
            </w:r>
          </w:p>
        </w:tc>
      </w:tr>
      <w:tr w:rsidR="002A4EFA" w:rsidRPr="0032430A" w14:paraId="548F8E13" w14:textId="77777777" w:rsidTr="62B52220">
        <w:trPr>
          <w:trHeight w:val="542"/>
        </w:trPr>
        <w:tc>
          <w:tcPr>
            <w:tcW w:w="3881" w:type="dxa"/>
            <w:vMerge w:val="restart"/>
            <w:shd w:val="clear" w:color="auto" w:fill="auto"/>
            <w:tcMar>
              <w:top w:w="72" w:type="dxa"/>
              <w:left w:w="144" w:type="dxa"/>
              <w:bottom w:w="72" w:type="dxa"/>
              <w:right w:w="144" w:type="dxa"/>
            </w:tcMar>
          </w:tcPr>
          <w:p w14:paraId="7D17E503" w14:textId="77777777" w:rsidR="002A4EFA" w:rsidRDefault="002A4EFA" w:rsidP="002A4EFA">
            <w:pPr>
              <w:tabs>
                <w:tab w:val="left" w:pos="413"/>
              </w:tabs>
              <w:spacing w:after="0" w:line="288" w:lineRule="auto"/>
              <w:rPr>
                <w:rFonts w:ascii="Arial" w:eastAsia="Times New Roman" w:hAnsi="Arial" w:cs="Arial"/>
                <w:sz w:val="24"/>
                <w:szCs w:val="24"/>
                <w:lang w:eastAsia="en-GB"/>
              </w:rPr>
            </w:pPr>
            <w:r>
              <w:rPr>
                <w:rFonts w:ascii="Arial" w:eastAsia="Times New Roman" w:hAnsi="Arial" w:cs="Arial"/>
                <w:sz w:val="24"/>
                <w:szCs w:val="24"/>
                <w:lang w:eastAsia="en-GB"/>
              </w:rPr>
              <w:t>Inclusive Policies and Practices</w:t>
            </w:r>
          </w:p>
        </w:tc>
        <w:tc>
          <w:tcPr>
            <w:tcW w:w="8879" w:type="dxa"/>
            <w:shd w:val="clear" w:color="auto" w:fill="auto"/>
            <w:tcMar>
              <w:top w:w="72" w:type="dxa"/>
              <w:left w:w="144" w:type="dxa"/>
              <w:bottom w:w="72" w:type="dxa"/>
              <w:right w:w="144" w:type="dxa"/>
            </w:tcMar>
          </w:tcPr>
          <w:p w14:paraId="18B9B262" w14:textId="7573AB72" w:rsidR="002A4EFA" w:rsidRPr="00AE77BA" w:rsidRDefault="002A4EFA" w:rsidP="002A4EFA">
            <w:pPr>
              <w:spacing w:after="0" w:line="288" w:lineRule="auto"/>
              <w:ind w:left="360"/>
              <w:contextualSpacing/>
              <w:rPr>
                <w:rFonts w:ascii="Arial" w:eastAsia="Times New Roman" w:hAnsi="Arial" w:cs="Arial"/>
                <w:sz w:val="24"/>
                <w:szCs w:val="24"/>
                <w:lang w:eastAsia="en-GB"/>
              </w:rPr>
            </w:pPr>
            <w:r w:rsidRPr="00DA2E17">
              <w:rPr>
                <w:rFonts w:ascii="Arial" w:eastAsia="MS PGothic" w:hAnsi="Arial" w:cs="Arial"/>
                <w:kern w:val="24"/>
                <w:sz w:val="24"/>
                <w:szCs w:val="24"/>
                <w:lang w:eastAsia="en-GB"/>
              </w:rPr>
              <w:t xml:space="preserve">QI project </w:t>
            </w:r>
            <w:r>
              <w:rPr>
                <w:rFonts w:ascii="Arial" w:eastAsia="MS PGothic" w:hAnsi="Arial" w:cs="Arial"/>
                <w:kern w:val="24"/>
                <w:sz w:val="24"/>
                <w:szCs w:val="24"/>
                <w:lang w:eastAsia="en-GB"/>
              </w:rPr>
              <w:t xml:space="preserve">underway </w:t>
            </w:r>
            <w:r w:rsidRPr="00DA2E17">
              <w:rPr>
                <w:rFonts w:ascii="Arial" w:eastAsia="MS PGothic" w:hAnsi="Arial" w:cs="Arial"/>
                <w:kern w:val="24"/>
                <w:sz w:val="24"/>
                <w:szCs w:val="24"/>
                <w:lang w:eastAsia="en-GB"/>
              </w:rPr>
              <w:t>examining our recruitment process and areas which may need improving</w:t>
            </w:r>
            <w:r>
              <w:rPr>
                <w:rFonts w:ascii="Arial" w:eastAsia="MS PGothic" w:hAnsi="Arial" w:cs="Arial"/>
                <w:kern w:val="24"/>
                <w:sz w:val="24"/>
                <w:szCs w:val="24"/>
                <w:lang w:eastAsia="en-GB"/>
              </w:rPr>
              <w:t xml:space="preserve">. Under the project scope includes piloting Independent Panel Members (IPMs) </w:t>
            </w:r>
            <w:r w:rsidRPr="00AE77BA">
              <w:rPr>
                <w:rFonts w:ascii="Arial" w:eastAsia="Times New Roman" w:hAnsi="Arial" w:cs="Arial"/>
                <w:sz w:val="24"/>
                <w:szCs w:val="24"/>
                <w:lang w:eastAsia="en-GB"/>
              </w:rPr>
              <w:t>in the shortlisting process of all recruitment panels at Grade A and above.</w:t>
            </w:r>
            <w:r>
              <w:rPr>
                <w:rFonts w:ascii="Arial" w:eastAsia="Times New Roman" w:hAnsi="Arial" w:cs="Arial"/>
                <w:sz w:val="24"/>
                <w:szCs w:val="24"/>
                <w:lang w:eastAsia="en-GB"/>
              </w:rPr>
              <w:t xml:space="preserve"> As well as evaluating the success of IPMs.</w:t>
            </w:r>
          </w:p>
        </w:tc>
        <w:tc>
          <w:tcPr>
            <w:tcW w:w="1985" w:type="dxa"/>
            <w:shd w:val="clear" w:color="auto" w:fill="FFFFFF" w:themeFill="background1"/>
            <w:tcMar>
              <w:top w:w="72" w:type="dxa"/>
              <w:left w:w="144" w:type="dxa"/>
              <w:bottom w:w="72" w:type="dxa"/>
              <w:right w:w="144" w:type="dxa"/>
            </w:tcMar>
          </w:tcPr>
          <w:p w14:paraId="26FD0AAE" w14:textId="2D4EF09C" w:rsidR="002A4EFA" w:rsidRPr="0032430A" w:rsidRDefault="002A4EFA" w:rsidP="002A4EFA">
            <w:pPr>
              <w:spacing w:after="0" w:line="240" w:lineRule="auto"/>
              <w:contextualSpacing/>
              <w:rPr>
                <w:rFonts w:ascii="Arial" w:eastAsia="Times New Roman" w:hAnsi="Arial" w:cs="Arial"/>
                <w:sz w:val="24"/>
                <w:szCs w:val="24"/>
                <w:lang w:eastAsia="en-GB"/>
              </w:rPr>
            </w:pPr>
            <w:r w:rsidRPr="0032430A">
              <w:rPr>
                <w:rFonts w:ascii="Arial" w:eastAsia="Times New Roman" w:hAnsi="Arial" w:cs="Arial"/>
                <w:sz w:val="24"/>
                <w:szCs w:val="24"/>
                <w:lang w:eastAsia="en-GB"/>
              </w:rPr>
              <w:t>Not started</w:t>
            </w:r>
            <w:r>
              <w:rPr>
                <w:rFonts w:ascii="Arial" w:eastAsia="Times New Roman" w:hAnsi="Arial" w:cs="Arial"/>
                <w:sz w:val="24"/>
                <w:szCs w:val="24"/>
                <w:lang w:eastAsia="en-GB"/>
              </w:rPr>
              <w:t xml:space="preserve"> – Starting </w:t>
            </w:r>
            <w:r w:rsidR="00D75068">
              <w:rPr>
                <w:rFonts w:ascii="Arial" w:eastAsia="Times New Roman" w:hAnsi="Arial" w:cs="Arial"/>
                <w:sz w:val="24"/>
                <w:szCs w:val="24"/>
                <w:lang w:eastAsia="en-GB"/>
              </w:rPr>
              <w:t>from Sept 22</w:t>
            </w:r>
            <w:r>
              <w:rPr>
                <w:rFonts w:ascii="Arial" w:eastAsia="Times New Roman" w:hAnsi="Arial" w:cs="Arial"/>
                <w:sz w:val="24"/>
                <w:szCs w:val="24"/>
                <w:lang w:eastAsia="en-GB"/>
              </w:rPr>
              <w:t xml:space="preserve"> </w:t>
            </w:r>
          </w:p>
        </w:tc>
      </w:tr>
      <w:tr w:rsidR="00B04A85" w14:paraId="360B6384" w14:textId="77777777" w:rsidTr="62B52220">
        <w:trPr>
          <w:trHeight w:val="542"/>
        </w:trPr>
        <w:tc>
          <w:tcPr>
            <w:tcW w:w="3881" w:type="dxa"/>
            <w:vMerge/>
            <w:tcMar>
              <w:top w:w="72" w:type="dxa"/>
              <w:left w:w="144" w:type="dxa"/>
              <w:bottom w:w="72" w:type="dxa"/>
              <w:right w:w="144" w:type="dxa"/>
            </w:tcMar>
          </w:tcPr>
          <w:p w14:paraId="224A5914" w14:textId="77777777" w:rsidR="00B04A85" w:rsidRDefault="00B04A85" w:rsidP="00B04A85">
            <w:pPr>
              <w:tabs>
                <w:tab w:val="left" w:pos="413"/>
              </w:tabs>
              <w:spacing w:after="0" w:line="288" w:lineRule="auto"/>
              <w:rPr>
                <w:rFonts w:ascii="Arial" w:eastAsia="Times New Roman" w:hAnsi="Arial" w:cs="Arial"/>
                <w:sz w:val="24"/>
                <w:szCs w:val="24"/>
                <w:lang w:eastAsia="en-GB"/>
              </w:rPr>
            </w:pPr>
          </w:p>
        </w:tc>
        <w:tc>
          <w:tcPr>
            <w:tcW w:w="8879" w:type="dxa"/>
            <w:shd w:val="clear" w:color="auto" w:fill="auto"/>
            <w:tcMar>
              <w:top w:w="72" w:type="dxa"/>
              <w:left w:w="144" w:type="dxa"/>
              <w:bottom w:w="72" w:type="dxa"/>
              <w:right w:w="144" w:type="dxa"/>
            </w:tcMar>
          </w:tcPr>
          <w:p w14:paraId="19481681" w14:textId="06BD250D" w:rsidR="00B04A85" w:rsidRPr="00DA2E17" w:rsidRDefault="00B04A85" w:rsidP="00B04A85">
            <w:pPr>
              <w:spacing w:after="0" w:line="288" w:lineRule="auto"/>
              <w:ind w:left="360"/>
              <w:contextualSpacing/>
              <w:rPr>
                <w:rFonts w:ascii="Arial" w:eastAsia="MS PGothic" w:hAnsi="Arial" w:cs="Arial"/>
                <w:kern w:val="24"/>
                <w:sz w:val="24"/>
                <w:szCs w:val="24"/>
                <w:lang w:eastAsia="en-GB"/>
              </w:rPr>
            </w:pPr>
            <w:r w:rsidRPr="005E567E">
              <w:rPr>
                <w:rFonts w:ascii="Arial" w:eastAsia="MS PGothic" w:hAnsi="Arial" w:cs="Arial"/>
                <w:kern w:val="24"/>
                <w:sz w:val="24"/>
                <w:szCs w:val="24"/>
                <w:lang w:eastAsia="en-GB"/>
              </w:rPr>
              <w:t xml:space="preserve">Review and update comms </w:t>
            </w:r>
            <w:r>
              <w:rPr>
                <w:rFonts w:ascii="Arial" w:eastAsia="MS PGothic" w:hAnsi="Arial" w:cs="Arial"/>
                <w:kern w:val="24"/>
                <w:sz w:val="24"/>
                <w:szCs w:val="24"/>
                <w:lang w:eastAsia="en-GB"/>
              </w:rPr>
              <w:t xml:space="preserve">and our offer to </w:t>
            </w:r>
            <w:r w:rsidRPr="005E567E">
              <w:rPr>
                <w:rFonts w:ascii="Arial" w:eastAsia="MS PGothic" w:hAnsi="Arial" w:cs="Arial"/>
                <w:kern w:val="24"/>
                <w:sz w:val="24"/>
                <w:szCs w:val="24"/>
                <w:lang w:eastAsia="en-GB"/>
              </w:rPr>
              <w:t xml:space="preserve">disabled candidates to discuss any required reasonable adjustments for all parts of </w:t>
            </w:r>
            <w:r>
              <w:rPr>
                <w:rFonts w:ascii="Arial" w:eastAsia="MS PGothic" w:hAnsi="Arial" w:cs="Arial"/>
                <w:kern w:val="24"/>
                <w:sz w:val="24"/>
                <w:szCs w:val="24"/>
                <w:lang w:eastAsia="en-GB"/>
              </w:rPr>
              <w:t>the</w:t>
            </w:r>
            <w:r w:rsidRPr="005E567E">
              <w:rPr>
                <w:rFonts w:ascii="Arial" w:eastAsia="MS PGothic" w:hAnsi="Arial" w:cs="Arial"/>
                <w:kern w:val="24"/>
                <w:sz w:val="24"/>
                <w:szCs w:val="24"/>
                <w:lang w:eastAsia="en-GB"/>
              </w:rPr>
              <w:t xml:space="preserve"> recruitment process.</w:t>
            </w:r>
          </w:p>
        </w:tc>
        <w:tc>
          <w:tcPr>
            <w:tcW w:w="1985" w:type="dxa"/>
            <w:shd w:val="clear" w:color="auto" w:fill="92D050"/>
            <w:tcMar>
              <w:top w:w="72" w:type="dxa"/>
              <w:left w:w="144" w:type="dxa"/>
              <w:bottom w:w="72" w:type="dxa"/>
              <w:right w:w="144" w:type="dxa"/>
            </w:tcMar>
          </w:tcPr>
          <w:p w14:paraId="7D941C37" w14:textId="77777777" w:rsidR="00B04A85" w:rsidRDefault="00B04A85" w:rsidP="00B04A85">
            <w:pPr>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Green</w:t>
            </w:r>
          </w:p>
        </w:tc>
      </w:tr>
      <w:tr w:rsidR="00B02D14" w14:paraId="55726873" w14:textId="77777777" w:rsidTr="62B52220">
        <w:trPr>
          <w:trHeight w:val="542"/>
        </w:trPr>
        <w:tc>
          <w:tcPr>
            <w:tcW w:w="3881" w:type="dxa"/>
            <w:vMerge/>
            <w:tcMar>
              <w:top w:w="72" w:type="dxa"/>
              <w:left w:w="144" w:type="dxa"/>
              <w:bottom w:w="72" w:type="dxa"/>
              <w:right w:w="144" w:type="dxa"/>
            </w:tcMar>
          </w:tcPr>
          <w:p w14:paraId="6DF58A67" w14:textId="77777777" w:rsidR="00B02D14" w:rsidRDefault="00B02D14" w:rsidP="00B02D14">
            <w:pPr>
              <w:tabs>
                <w:tab w:val="left" w:pos="413"/>
              </w:tabs>
              <w:spacing w:after="0" w:line="288" w:lineRule="auto"/>
              <w:rPr>
                <w:rFonts w:ascii="Arial" w:eastAsia="Times New Roman" w:hAnsi="Arial" w:cs="Arial"/>
                <w:sz w:val="24"/>
                <w:szCs w:val="24"/>
                <w:lang w:eastAsia="en-GB"/>
              </w:rPr>
            </w:pPr>
          </w:p>
        </w:tc>
        <w:tc>
          <w:tcPr>
            <w:tcW w:w="8879" w:type="dxa"/>
            <w:shd w:val="clear" w:color="auto" w:fill="auto"/>
            <w:tcMar>
              <w:top w:w="72" w:type="dxa"/>
              <w:left w:w="144" w:type="dxa"/>
              <w:bottom w:w="72" w:type="dxa"/>
              <w:right w:w="144" w:type="dxa"/>
            </w:tcMar>
          </w:tcPr>
          <w:p w14:paraId="7FCB8E3F" w14:textId="6DED3453" w:rsidR="00B02D14" w:rsidRPr="00D94EE3" w:rsidRDefault="00B02D14" w:rsidP="00B02D14">
            <w:pPr>
              <w:spacing w:after="0" w:line="288" w:lineRule="auto"/>
              <w:ind w:left="360"/>
              <w:contextualSpacing/>
              <w:rPr>
                <w:rFonts w:ascii="Arial" w:eastAsia="MS PGothic" w:hAnsi="Arial" w:cs="Arial"/>
                <w:kern w:val="24"/>
                <w:sz w:val="24"/>
                <w:szCs w:val="24"/>
                <w:lang w:eastAsia="en-GB"/>
              </w:rPr>
            </w:pPr>
            <w:r w:rsidRPr="00D21B2B">
              <w:rPr>
                <w:rFonts w:ascii="Arial" w:eastAsia="MS PGothic" w:hAnsi="Arial" w:cs="Arial"/>
                <w:kern w:val="24"/>
                <w:sz w:val="24"/>
                <w:szCs w:val="24"/>
                <w:lang w:eastAsia="en-GB"/>
              </w:rPr>
              <w:t>Begun a QI projec</w:t>
            </w:r>
            <w:r>
              <w:rPr>
                <w:rFonts w:ascii="Arial" w:eastAsia="MS PGothic" w:hAnsi="Arial" w:cs="Arial"/>
                <w:kern w:val="24"/>
                <w:sz w:val="24"/>
                <w:szCs w:val="24"/>
                <w:lang w:eastAsia="en-GB"/>
              </w:rPr>
              <w:t>t to improve</w:t>
            </w:r>
            <w:r w:rsidRPr="00D21B2B">
              <w:rPr>
                <w:rFonts w:ascii="Arial" w:eastAsia="MS PGothic" w:hAnsi="Arial" w:cs="Arial"/>
                <w:kern w:val="24"/>
                <w:sz w:val="24"/>
                <w:szCs w:val="24"/>
                <w:lang w:eastAsia="en-GB"/>
              </w:rPr>
              <w:t xml:space="preserve"> the experience of disabled colleagues acquiring reasonable adjustments</w:t>
            </w:r>
            <w:r>
              <w:rPr>
                <w:rFonts w:ascii="Arial" w:eastAsia="MS PGothic" w:hAnsi="Arial" w:cs="Arial"/>
                <w:kern w:val="24"/>
                <w:sz w:val="24"/>
                <w:szCs w:val="24"/>
                <w:lang w:eastAsia="en-GB"/>
              </w:rPr>
              <w:t>.</w:t>
            </w:r>
          </w:p>
        </w:tc>
        <w:tc>
          <w:tcPr>
            <w:tcW w:w="1985" w:type="dxa"/>
            <w:shd w:val="clear" w:color="auto" w:fill="92D050"/>
            <w:tcMar>
              <w:top w:w="72" w:type="dxa"/>
              <w:left w:w="144" w:type="dxa"/>
              <w:bottom w:w="72" w:type="dxa"/>
              <w:right w:w="144" w:type="dxa"/>
            </w:tcMar>
          </w:tcPr>
          <w:p w14:paraId="3F1CF867" w14:textId="77777777" w:rsidR="00B02D14" w:rsidRDefault="00B02D14" w:rsidP="00B02D14">
            <w:pPr>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Green</w:t>
            </w:r>
          </w:p>
        </w:tc>
      </w:tr>
      <w:tr w:rsidR="002B655F" w14:paraId="5D680701" w14:textId="77777777" w:rsidTr="62B52220">
        <w:trPr>
          <w:trHeight w:val="542"/>
        </w:trPr>
        <w:tc>
          <w:tcPr>
            <w:tcW w:w="3881" w:type="dxa"/>
            <w:vMerge/>
            <w:tcMar>
              <w:top w:w="72" w:type="dxa"/>
              <w:left w:w="144" w:type="dxa"/>
              <w:bottom w:w="72" w:type="dxa"/>
              <w:right w:w="144" w:type="dxa"/>
            </w:tcMar>
          </w:tcPr>
          <w:p w14:paraId="211DE63C" w14:textId="77777777" w:rsidR="002B655F" w:rsidRDefault="002B655F" w:rsidP="002B655F">
            <w:pPr>
              <w:tabs>
                <w:tab w:val="left" w:pos="413"/>
              </w:tabs>
              <w:spacing w:after="0" w:line="288" w:lineRule="auto"/>
              <w:rPr>
                <w:rFonts w:ascii="Arial" w:eastAsia="MS PGothic" w:hAnsi="Arial" w:cs="Arial"/>
                <w:kern w:val="24"/>
                <w:sz w:val="24"/>
                <w:szCs w:val="24"/>
                <w:lang w:eastAsia="en-GB"/>
              </w:rPr>
            </w:pPr>
          </w:p>
        </w:tc>
        <w:tc>
          <w:tcPr>
            <w:tcW w:w="8879" w:type="dxa"/>
            <w:shd w:val="clear" w:color="auto" w:fill="auto"/>
            <w:tcMar>
              <w:top w:w="72" w:type="dxa"/>
              <w:left w:w="144" w:type="dxa"/>
              <w:bottom w:w="72" w:type="dxa"/>
              <w:right w:w="144" w:type="dxa"/>
            </w:tcMar>
          </w:tcPr>
          <w:p w14:paraId="13165933" w14:textId="6AEF231C" w:rsidR="002B655F" w:rsidRPr="00477BC6" w:rsidRDefault="002B655F" w:rsidP="002B655F">
            <w:pPr>
              <w:spacing w:after="0" w:line="288" w:lineRule="auto"/>
              <w:ind w:left="360"/>
              <w:contextualSpacing/>
              <w:rPr>
                <w:rFonts w:ascii="Arial" w:eastAsia="MS PGothic" w:hAnsi="Arial" w:cs="Arial"/>
                <w:kern w:val="24"/>
                <w:sz w:val="24"/>
                <w:szCs w:val="24"/>
                <w:lang w:eastAsia="en-GB"/>
              </w:rPr>
            </w:pPr>
            <w:r w:rsidRPr="00477BC6">
              <w:rPr>
                <w:rFonts w:ascii="Arial" w:eastAsia="MS PGothic" w:hAnsi="Arial" w:cs="Arial"/>
                <w:kern w:val="24"/>
                <w:sz w:val="24"/>
                <w:szCs w:val="24"/>
                <w:lang w:eastAsia="en-GB"/>
              </w:rPr>
              <w:t xml:space="preserve">Ensure our internal and external recruitment campaigns and </w:t>
            </w:r>
            <w:r>
              <w:rPr>
                <w:rFonts w:ascii="Arial" w:eastAsia="MS PGothic" w:hAnsi="Arial" w:cs="Arial"/>
                <w:kern w:val="24"/>
                <w:sz w:val="24"/>
                <w:szCs w:val="24"/>
                <w:lang w:eastAsia="en-GB"/>
              </w:rPr>
              <w:t xml:space="preserve">job </w:t>
            </w:r>
            <w:r w:rsidRPr="00477BC6">
              <w:rPr>
                <w:rFonts w:ascii="Arial" w:eastAsia="MS PGothic" w:hAnsi="Arial" w:cs="Arial"/>
                <w:kern w:val="24"/>
                <w:sz w:val="24"/>
                <w:szCs w:val="24"/>
                <w:lang w:eastAsia="en-GB"/>
              </w:rPr>
              <w:t xml:space="preserve">adverts are inclusive and demonstrate our commitment to improving the representation of disabled colleagues at senior grades. </w:t>
            </w:r>
            <w:r w:rsidRPr="00BD097F">
              <w:rPr>
                <w:rFonts w:ascii="Arial" w:eastAsia="MS PGothic" w:hAnsi="Arial" w:cs="Arial"/>
                <w:kern w:val="24"/>
                <w:sz w:val="24"/>
                <w:szCs w:val="24"/>
                <w:lang w:eastAsia="en-GB"/>
              </w:rPr>
              <w:t>Review how effective diversity job websites have been to attract diverse talent at our Grade A and Executive advertised roles.</w:t>
            </w:r>
          </w:p>
        </w:tc>
        <w:tc>
          <w:tcPr>
            <w:tcW w:w="1985" w:type="dxa"/>
            <w:shd w:val="clear" w:color="auto" w:fill="FFFFFF" w:themeFill="background1"/>
            <w:tcMar>
              <w:top w:w="72" w:type="dxa"/>
              <w:left w:w="144" w:type="dxa"/>
              <w:bottom w:w="72" w:type="dxa"/>
              <w:right w:w="144" w:type="dxa"/>
            </w:tcMar>
          </w:tcPr>
          <w:p w14:paraId="5B68C55A" w14:textId="5E208B5F" w:rsidR="002B655F" w:rsidRDefault="002B655F" w:rsidP="002B655F">
            <w:pPr>
              <w:spacing w:after="0" w:line="240" w:lineRule="auto"/>
              <w:contextualSpacing/>
              <w:rPr>
                <w:rFonts w:ascii="Arial" w:eastAsia="Times New Roman" w:hAnsi="Arial" w:cs="Arial"/>
                <w:sz w:val="24"/>
                <w:szCs w:val="24"/>
                <w:lang w:eastAsia="en-GB"/>
              </w:rPr>
            </w:pPr>
            <w:r w:rsidRPr="0032430A">
              <w:rPr>
                <w:rFonts w:ascii="Arial" w:eastAsia="Times New Roman" w:hAnsi="Arial" w:cs="Arial"/>
                <w:sz w:val="24"/>
                <w:szCs w:val="24"/>
                <w:lang w:eastAsia="en-GB"/>
              </w:rPr>
              <w:t>Not started</w:t>
            </w:r>
            <w:r>
              <w:rPr>
                <w:rFonts w:ascii="Arial" w:eastAsia="Times New Roman" w:hAnsi="Arial" w:cs="Arial"/>
                <w:sz w:val="24"/>
                <w:szCs w:val="24"/>
                <w:lang w:eastAsia="en-GB"/>
              </w:rPr>
              <w:t xml:space="preserve"> – Starting </w:t>
            </w:r>
            <w:r w:rsidR="00D75068">
              <w:rPr>
                <w:rFonts w:ascii="Arial" w:eastAsia="Times New Roman" w:hAnsi="Arial" w:cs="Arial"/>
                <w:sz w:val="24"/>
                <w:szCs w:val="24"/>
                <w:lang w:eastAsia="en-GB"/>
              </w:rPr>
              <w:t>from Sept 22</w:t>
            </w:r>
          </w:p>
        </w:tc>
      </w:tr>
      <w:tr w:rsidR="002B655F" w14:paraId="1DD4AB66" w14:textId="77777777" w:rsidTr="62B52220">
        <w:trPr>
          <w:trHeight w:val="542"/>
        </w:trPr>
        <w:tc>
          <w:tcPr>
            <w:tcW w:w="3881" w:type="dxa"/>
            <w:vMerge/>
            <w:tcMar>
              <w:top w:w="72" w:type="dxa"/>
              <w:left w:w="144" w:type="dxa"/>
              <w:bottom w:w="72" w:type="dxa"/>
              <w:right w:w="144" w:type="dxa"/>
            </w:tcMar>
          </w:tcPr>
          <w:p w14:paraId="7AE18E1F" w14:textId="77777777" w:rsidR="002B655F" w:rsidRDefault="002B655F" w:rsidP="002B655F">
            <w:pPr>
              <w:tabs>
                <w:tab w:val="left" w:pos="413"/>
              </w:tabs>
              <w:spacing w:after="0" w:line="288" w:lineRule="auto"/>
              <w:rPr>
                <w:rFonts w:ascii="Arial" w:eastAsia="MS PGothic" w:hAnsi="Arial" w:cs="Arial"/>
                <w:kern w:val="24"/>
                <w:sz w:val="24"/>
                <w:szCs w:val="24"/>
                <w:lang w:eastAsia="en-GB"/>
              </w:rPr>
            </w:pPr>
          </w:p>
        </w:tc>
        <w:tc>
          <w:tcPr>
            <w:tcW w:w="8879" w:type="dxa"/>
            <w:shd w:val="clear" w:color="auto" w:fill="auto"/>
            <w:tcMar>
              <w:top w:w="72" w:type="dxa"/>
              <w:left w:w="144" w:type="dxa"/>
              <w:bottom w:w="72" w:type="dxa"/>
              <w:right w:w="144" w:type="dxa"/>
            </w:tcMar>
          </w:tcPr>
          <w:p w14:paraId="3A163685" w14:textId="77777777" w:rsidR="002B655F" w:rsidRPr="00477BC6" w:rsidRDefault="002B655F" w:rsidP="002B655F">
            <w:pPr>
              <w:spacing w:after="0" w:line="288" w:lineRule="auto"/>
              <w:ind w:left="360"/>
              <w:contextualSpacing/>
              <w:rPr>
                <w:rFonts w:ascii="Arial" w:eastAsia="MS PGothic" w:hAnsi="Arial" w:cs="Arial"/>
                <w:kern w:val="24"/>
                <w:sz w:val="24"/>
                <w:szCs w:val="24"/>
                <w:lang w:eastAsia="en-GB"/>
              </w:rPr>
            </w:pPr>
            <w:r w:rsidRPr="00477BC6">
              <w:rPr>
                <w:rFonts w:ascii="Arial" w:eastAsia="MS PGothic" w:hAnsi="Arial" w:cs="Arial"/>
                <w:kern w:val="24"/>
                <w:sz w:val="24"/>
                <w:szCs w:val="24"/>
                <w:lang w:eastAsia="en-GB"/>
              </w:rPr>
              <w:t>Refresh and update Academy’s Mentoring program and promote places for Black and minority ethnic and/or colleagues with disabilities.</w:t>
            </w:r>
          </w:p>
        </w:tc>
        <w:tc>
          <w:tcPr>
            <w:tcW w:w="1985" w:type="dxa"/>
            <w:shd w:val="clear" w:color="auto" w:fill="92D050"/>
            <w:tcMar>
              <w:top w:w="72" w:type="dxa"/>
              <w:left w:w="144" w:type="dxa"/>
              <w:bottom w:w="72" w:type="dxa"/>
              <w:right w:w="144" w:type="dxa"/>
            </w:tcMar>
          </w:tcPr>
          <w:p w14:paraId="01365E84" w14:textId="77777777" w:rsidR="002B655F" w:rsidRDefault="002B655F" w:rsidP="002B655F">
            <w:pPr>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Green</w:t>
            </w:r>
          </w:p>
        </w:tc>
      </w:tr>
      <w:tr w:rsidR="002B655F" w14:paraId="4D67D4CC" w14:textId="77777777" w:rsidTr="62B52220">
        <w:trPr>
          <w:trHeight w:val="542"/>
        </w:trPr>
        <w:tc>
          <w:tcPr>
            <w:tcW w:w="3881" w:type="dxa"/>
            <w:vMerge w:val="restart"/>
            <w:shd w:val="clear" w:color="auto" w:fill="auto"/>
            <w:tcMar>
              <w:top w:w="72" w:type="dxa"/>
              <w:left w:w="144" w:type="dxa"/>
              <w:bottom w:w="72" w:type="dxa"/>
              <w:right w:w="144" w:type="dxa"/>
            </w:tcMar>
          </w:tcPr>
          <w:p w14:paraId="02C01970" w14:textId="77777777" w:rsidR="002B655F" w:rsidRDefault="002B655F" w:rsidP="002B655F">
            <w:pPr>
              <w:tabs>
                <w:tab w:val="left" w:pos="413"/>
              </w:tabs>
              <w:spacing w:after="0" w:line="288" w:lineRule="auto"/>
              <w:rPr>
                <w:rFonts w:ascii="Arial" w:eastAsia="Times New Roman" w:hAnsi="Arial" w:cs="Arial"/>
                <w:sz w:val="24"/>
                <w:szCs w:val="24"/>
                <w:lang w:eastAsia="en-GB"/>
              </w:rPr>
            </w:pPr>
            <w:r>
              <w:rPr>
                <w:rFonts w:ascii="Arial" w:eastAsia="MS PGothic" w:hAnsi="Arial" w:cs="Arial"/>
                <w:kern w:val="24"/>
                <w:sz w:val="24"/>
                <w:szCs w:val="24"/>
                <w:lang w:eastAsia="en-GB"/>
              </w:rPr>
              <w:t>Inclusive Cultures</w:t>
            </w:r>
            <w:r>
              <w:rPr>
                <w:rFonts w:ascii="Arial" w:eastAsia="Times New Roman" w:hAnsi="Arial" w:cs="Arial"/>
                <w:sz w:val="24"/>
                <w:szCs w:val="24"/>
                <w:lang w:eastAsia="en-GB"/>
              </w:rPr>
              <w:t xml:space="preserve"> </w:t>
            </w:r>
          </w:p>
        </w:tc>
        <w:tc>
          <w:tcPr>
            <w:tcW w:w="8879" w:type="dxa"/>
            <w:shd w:val="clear" w:color="auto" w:fill="auto"/>
            <w:tcMar>
              <w:top w:w="72" w:type="dxa"/>
              <w:left w:w="144" w:type="dxa"/>
              <w:bottom w:w="72" w:type="dxa"/>
              <w:right w:w="144" w:type="dxa"/>
            </w:tcMar>
          </w:tcPr>
          <w:p w14:paraId="1E9C9134" w14:textId="5CD5A5E8" w:rsidR="002B655F" w:rsidRPr="00D94EE3" w:rsidRDefault="002B655F" w:rsidP="002B655F">
            <w:pPr>
              <w:spacing w:after="0" w:line="288" w:lineRule="auto"/>
              <w:ind w:left="360"/>
              <w:contextualSpacing/>
              <w:rPr>
                <w:rFonts w:ascii="Arial" w:eastAsia="MS PGothic" w:hAnsi="Arial" w:cs="Arial"/>
                <w:kern w:val="24"/>
                <w:sz w:val="24"/>
                <w:szCs w:val="24"/>
                <w:highlight w:val="yellow"/>
                <w:lang w:eastAsia="en-GB"/>
              </w:rPr>
            </w:pPr>
            <w:r w:rsidRPr="00A50A0E">
              <w:rPr>
                <w:rFonts w:ascii="Arial" w:eastAsia="MS PGothic" w:hAnsi="Arial" w:cs="Arial"/>
                <w:kern w:val="24"/>
                <w:sz w:val="24"/>
                <w:szCs w:val="24"/>
                <w:lang w:eastAsia="en-GB"/>
              </w:rPr>
              <w:t xml:space="preserve">Achieve Disability Confident Level 2 Q2 2022 </w:t>
            </w:r>
            <w:r w:rsidR="006A6E0B">
              <w:rPr>
                <w:rFonts w:ascii="Arial" w:eastAsia="MS PGothic" w:hAnsi="Arial" w:cs="Arial"/>
                <w:kern w:val="24"/>
                <w:sz w:val="24"/>
                <w:szCs w:val="24"/>
                <w:lang w:eastAsia="en-GB"/>
              </w:rPr>
              <w:t xml:space="preserve">(completed) </w:t>
            </w:r>
            <w:r w:rsidRPr="00A50A0E">
              <w:rPr>
                <w:rFonts w:ascii="Arial" w:eastAsia="MS PGothic" w:hAnsi="Arial" w:cs="Arial"/>
                <w:kern w:val="24"/>
                <w:sz w:val="24"/>
                <w:szCs w:val="24"/>
                <w:lang w:eastAsia="en-GB"/>
              </w:rPr>
              <w:t>and work towards any actions necessary to achieve level 3 by March 2023</w:t>
            </w:r>
          </w:p>
        </w:tc>
        <w:tc>
          <w:tcPr>
            <w:tcW w:w="1985" w:type="dxa"/>
            <w:shd w:val="clear" w:color="auto" w:fill="92D050"/>
            <w:tcMar>
              <w:top w:w="72" w:type="dxa"/>
              <w:left w:w="144" w:type="dxa"/>
              <w:bottom w:w="72" w:type="dxa"/>
              <w:right w:w="144" w:type="dxa"/>
            </w:tcMar>
          </w:tcPr>
          <w:p w14:paraId="777B39DD" w14:textId="77777777" w:rsidR="002B655F" w:rsidRDefault="002B655F" w:rsidP="002B655F">
            <w:pPr>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Green</w:t>
            </w:r>
          </w:p>
        </w:tc>
      </w:tr>
      <w:tr w:rsidR="002B655F" w:rsidRPr="0032430A" w14:paraId="37407403" w14:textId="77777777" w:rsidTr="62B52220">
        <w:trPr>
          <w:trHeight w:val="542"/>
        </w:trPr>
        <w:tc>
          <w:tcPr>
            <w:tcW w:w="3881" w:type="dxa"/>
            <w:vMerge/>
            <w:tcMar>
              <w:top w:w="72" w:type="dxa"/>
              <w:left w:w="144" w:type="dxa"/>
              <w:bottom w:w="72" w:type="dxa"/>
              <w:right w:w="144" w:type="dxa"/>
            </w:tcMar>
          </w:tcPr>
          <w:p w14:paraId="235B81EF" w14:textId="77777777" w:rsidR="002B655F" w:rsidRDefault="002B655F" w:rsidP="002B655F">
            <w:pPr>
              <w:tabs>
                <w:tab w:val="left" w:pos="413"/>
              </w:tabs>
              <w:spacing w:after="0" w:line="288" w:lineRule="auto"/>
              <w:rPr>
                <w:rFonts w:ascii="Arial" w:eastAsia="Times New Roman" w:hAnsi="Arial" w:cs="Arial"/>
                <w:sz w:val="24"/>
                <w:szCs w:val="24"/>
                <w:lang w:eastAsia="en-GB"/>
              </w:rPr>
            </w:pPr>
          </w:p>
        </w:tc>
        <w:tc>
          <w:tcPr>
            <w:tcW w:w="8879" w:type="dxa"/>
            <w:shd w:val="clear" w:color="auto" w:fill="auto"/>
            <w:tcMar>
              <w:top w:w="72" w:type="dxa"/>
              <w:left w:w="144" w:type="dxa"/>
              <w:bottom w:w="72" w:type="dxa"/>
              <w:right w:w="144" w:type="dxa"/>
            </w:tcMar>
          </w:tcPr>
          <w:p w14:paraId="08946FEA" w14:textId="77777777" w:rsidR="002B655F" w:rsidRPr="00D94EE3" w:rsidRDefault="002B655F" w:rsidP="002B655F">
            <w:pPr>
              <w:spacing w:after="0" w:line="288" w:lineRule="auto"/>
              <w:ind w:left="360"/>
              <w:contextualSpacing/>
              <w:rPr>
                <w:rFonts w:ascii="Arial" w:eastAsia="MS PGothic" w:hAnsi="Arial" w:cs="Arial"/>
                <w:kern w:val="24"/>
                <w:sz w:val="24"/>
                <w:szCs w:val="24"/>
                <w:highlight w:val="yellow"/>
                <w:lang w:eastAsia="en-GB"/>
              </w:rPr>
            </w:pPr>
            <w:r w:rsidRPr="009518E8">
              <w:rPr>
                <w:rFonts w:ascii="Arial" w:eastAsia="MS PGothic" w:hAnsi="Arial" w:cs="Arial"/>
                <w:kern w:val="24"/>
                <w:sz w:val="24"/>
                <w:szCs w:val="24"/>
                <w:lang w:eastAsia="en-GB"/>
              </w:rPr>
              <w:t>Work towards any actions necessary to achieve Carer Confident employer level 1 by March 2022 and level 2 by March 2023.</w:t>
            </w:r>
          </w:p>
        </w:tc>
        <w:tc>
          <w:tcPr>
            <w:tcW w:w="1985" w:type="dxa"/>
            <w:shd w:val="clear" w:color="auto" w:fill="92D050"/>
            <w:tcMar>
              <w:top w:w="72" w:type="dxa"/>
              <w:left w:w="144" w:type="dxa"/>
              <w:bottom w:w="72" w:type="dxa"/>
              <w:right w:w="144" w:type="dxa"/>
            </w:tcMar>
          </w:tcPr>
          <w:p w14:paraId="41961F6D" w14:textId="77777777" w:rsidR="002B655F" w:rsidRPr="0032430A" w:rsidRDefault="002B655F" w:rsidP="002B655F">
            <w:pPr>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Green</w:t>
            </w:r>
          </w:p>
        </w:tc>
      </w:tr>
      <w:tr w:rsidR="002B655F" w:rsidRPr="0032430A" w14:paraId="3B2E76E3" w14:textId="77777777" w:rsidTr="62B52220">
        <w:trPr>
          <w:trHeight w:val="395"/>
        </w:trPr>
        <w:tc>
          <w:tcPr>
            <w:tcW w:w="3881" w:type="dxa"/>
            <w:vMerge/>
            <w:tcMar>
              <w:top w:w="72" w:type="dxa"/>
              <w:left w:w="144" w:type="dxa"/>
              <w:bottom w:w="72" w:type="dxa"/>
              <w:right w:w="144" w:type="dxa"/>
            </w:tcMar>
          </w:tcPr>
          <w:p w14:paraId="3EAF61A5" w14:textId="77777777" w:rsidR="002B655F" w:rsidRPr="0032430A" w:rsidRDefault="002B655F" w:rsidP="002B655F">
            <w:pPr>
              <w:tabs>
                <w:tab w:val="left" w:pos="413"/>
              </w:tabs>
              <w:spacing w:after="0" w:line="288" w:lineRule="auto"/>
              <w:rPr>
                <w:rFonts w:ascii="Arial" w:eastAsia="MS PGothic" w:hAnsi="Arial" w:cs="Arial"/>
                <w:kern w:val="24"/>
                <w:sz w:val="24"/>
                <w:szCs w:val="24"/>
                <w:lang w:eastAsia="en-GB"/>
              </w:rPr>
            </w:pPr>
          </w:p>
        </w:tc>
        <w:tc>
          <w:tcPr>
            <w:tcW w:w="8879" w:type="dxa"/>
            <w:shd w:val="clear" w:color="auto" w:fill="auto"/>
            <w:tcMar>
              <w:top w:w="72" w:type="dxa"/>
              <w:left w:w="144" w:type="dxa"/>
              <w:bottom w:w="72" w:type="dxa"/>
              <w:right w:w="144" w:type="dxa"/>
            </w:tcMar>
          </w:tcPr>
          <w:p w14:paraId="6941C683" w14:textId="77777777" w:rsidR="002B655F" w:rsidRPr="00D94EE3" w:rsidRDefault="002B655F" w:rsidP="002B655F">
            <w:pPr>
              <w:spacing w:after="0" w:line="288" w:lineRule="auto"/>
              <w:ind w:left="360"/>
              <w:contextualSpacing/>
              <w:rPr>
                <w:rFonts w:ascii="Arial" w:eastAsia="MS PGothic" w:hAnsi="Arial" w:cs="Arial"/>
                <w:kern w:val="24"/>
                <w:sz w:val="24"/>
                <w:szCs w:val="24"/>
                <w:highlight w:val="yellow"/>
                <w:lang w:val="en-US" w:eastAsia="en-GB"/>
              </w:rPr>
            </w:pPr>
            <w:r w:rsidRPr="00944C3F">
              <w:rPr>
                <w:rFonts w:ascii="Arial" w:eastAsia="MS PGothic" w:hAnsi="Arial" w:cs="Arial"/>
                <w:kern w:val="24"/>
                <w:sz w:val="24"/>
                <w:szCs w:val="24"/>
                <w:lang w:eastAsia="en-GB"/>
              </w:rPr>
              <w:t>Develop a rhythm of showcasing and reporting on D&amp;I data more frequently throughout the year to encourage local action from colleagues across the organisation.</w:t>
            </w:r>
          </w:p>
        </w:tc>
        <w:tc>
          <w:tcPr>
            <w:tcW w:w="1985" w:type="dxa"/>
            <w:shd w:val="clear" w:color="auto" w:fill="FFFFFF" w:themeFill="background1"/>
            <w:tcMar>
              <w:top w:w="72" w:type="dxa"/>
              <w:left w:w="144" w:type="dxa"/>
              <w:bottom w:w="72" w:type="dxa"/>
              <w:right w:w="144" w:type="dxa"/>
            </w:tcMar>
          </w:tcPr>
          <w:p w14:paraId="1B698C0C" w14:textId="12D83BB1" w:rsidR="002B655F" w:rsidRPr="0032430A" w:rsidRDefault="002B655F" w:rsidP="002B655F">
            <w:pPr>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 xml:space="preserve">Not started –Starting </w:t>
            </w:r>
            <w:r w:rsidR="00D75068">
              <w:rPr>
                <w:rFonts w:ascii="Arial" w:eastAsia="Times New Roman" w:hAnsi="Arial" w:cs="Arial"/>
                <w:sz w:val="24"/>
                <w:szCs w:val="24"/>
                <w:lang w:eastAsia="en-GB"/>
              </w:rPr>
              <w:t>from Sept 22</w:t>
            </w:r>
          </w:p>
        </w:tc>
      </w:tr>
      <w:tr w:rsidR="002B655F" w14:paraId="66B02214" w14:textId="77777777" w:rsidTr="62B52220">
        <w:trPr>
          <w:trHeight w:val="395"/>
        </w:trPr>
        <w:tc>
          <w:tcPr>
            <w:tcW w:w="3881" w:type="dxa"/>
            <w:vMerge/>
            <w:tcMar>
              <w:top w:w="72" w:type="dxa"/>
              <w:left w:w="144" w:type="dxa"/>
              <w:bottom w:w="72" w:type="dxa"/>
              <w:right w:w="144" w:type="dxa"/>
            </w:tcMar>
          </w:tcPr>
          <w:p w14:paraId="0093A3BB" w14:textId="77777777" w:rsidR="002B655F" w:rsidRPr="0032430A" w:rsidRDefault="002B655F" w:rsidP="002B655F">
            <w:pPr>
              <w:tabs>
                <w:tab w:val="left" w:pos="413"/>
              </w:tabs>
              <w:spacing w:after="0" w:line="288" w:lineRule="auto"/>
              <w:rPr>
                <w:rFonts w:ascii="Arial" w:eastAsia="MS PGothic" w:hAnsi="Arial" w:cs="Arial"/>
                <w:kern w:val="24"/>
                <w:sz w:val="24"/>
                <w:szCs w:val="24"/>
                <w:lang w:eastAsia="en-GB"/>
              </w:rPr>
            </w:pPr>
          </w:p>
        </w:tc>
        <w:tc>
          <w:tcPr>
            <w:tcW w:w="8879" w:type="dxa"/>
            <w:shd w:val="clear" w:color="auto" w:fill="auto"/>
            <w:tcMar>
              <w:top w:w="72" w:type="dxa"/>
              <w:left w:w="144" w:type="dxa"/>
              <w:bottom w:w="72" w:type="dxa"/>
              <w:right w:w="144" w:type="dxa"/>
            </w:tcMar>
          </w:tcPr>
          <w:p w14:paraId="3AFCF86D" w14:textId="77777777" w:rsidR="002B655F" w:rsidRPr="00604AFA" w:rsidRDefault="002B655F" w:rsidP="002B655F">
            <w:pPr>
              <w:spacing w:after="0" w:line="288" w:lineRule="auto"/>
              <w:ind w:left="360"/>
              <w:contextualSpacing/>
              <w:rPr>
                <w:rFonts w:ascii="Arial" w:eastAsia="MS PGothic" w:hAnsi="Arial" w:cs="Arial"/>
                <w:kern w:val="24"/>
                <w:sz w:val="24"/>
                <w:szCs w:val="24"/>
                <w:lang w:eastAsia="en-GB"/>
              </w:rPr>
            </w:pPr>
            <w:r w:rsidRPr="00604AFA">
              <w:rPr>
                <w:rFonts w:ascii="Arial" w:eastAsia="MS PGothic" w:hAnsi="Arial" w:cs="Arial"/>
                <w:kern w:val="24"/>
                <w:sz w:val="24"/>
                <w:szCs w:val="24"/>
                <w:lang w:eastAsia="en-GB"/>
              </w:rPr>
              <w:t>Build and implement the “Living Library” and Academy’s “Confidence with Difference” learning as tools to raise awareness of different experiences between colleagues in the organisation.</w:t>
            </w:r>
          </w:p>
        </w:tc>
        <w:tc>
          <w:tcPr>
            <w:tcW w:w="1985" w:type="dxa"/>
            <w:shd w:val="clear" w:color="auto" w:fill="FFFFFF" w:themeFill="background1"/>
            <w:tcMar>
              <w:top w:w="72" w:type="dxa"/>
              <w:left w:w="144" w:type="dxa"/>
              <w:bottom w:w="72" w:type="dxa"/>
              <w:right w:w="144" w:type="dxa"/>
            </w:tcMar>
          </w:tcPr>
          <w:p w14:paraId="15D34FFC" w14:textId="321A3717" w:rsidR="002B655F" w:rsidRDefault="002B655F" w:rsidP="002B655F">
            <w:pPr>
              <w:spacing w:after="0" w:line="240" w:lineRule="auto"/>
              <w:contextualSpacing/>
              <w:rPr>
                <w:rFonts w:ascii="Arial" w:eastAsia="Times New Roman" w:hAnsi="Arial" w:cs="Arial"/>
                <w:sz w:val="24"/>
                <w:szCs w:val="24"/>
                <w:lang w:eastAsia="en-GB"/>
              </w:rPr>
            </w:pPr>
            <w:r w:rsidRPr="0032430A">
              <w:rPr>
                <w:rFonts w:ascii="Arial" w:eastAsia="Times New Roman" w:hAnsi="Arial" w:cs="Arial"/>
                <w:sz w:val="24"/>
                <w:szCs w:val="24"/>
                <w:lang w:eastAsia="en-GB"/>
              </w:rPr>
              <w:t>Not started</w:t>
            </w:r>
            <w:r>
              <w:rPr>
                <w:rFonts w:ascii="Arial" w:eastAsia="Times New Roman" w:hAnsi="Arial" w:cs="Arial"/>
                <w:sz w:val="24"/>
                <w:szCs w:val="24"/>
                <w:lang w:eastAsia="en-GB"/>
              </w:rPr>
              <w:t xml:space="preserve"> – Starting </w:t>
            </w:r>
            <w:r w:rsidR="00D75068">
              <w:rPr>
                <w:rFonts w:ascii="Arial" w:eastAsia="Times New Roman" w:hAnsi="Arial" w:cs="Arial"/>
                <w:sz w:val="24"/>
                <w:szCs w:val="24"/>
                <w:lang w:eastAsia="en-GB"/>
              </w:rPr>
              <w:t>from Sept 22</w:t>
            </w:r>
            <w:r>
              <w:rPr>
                <w:rFonts w:ascii="Arial" w:eastAsia="Times New Roman" w:hAnsi="Arial" w:cs="Arial"/>
                <w:sz w:val="24"/>
                <w:szCs w:val="24"/>
                <w:lang w:eastAsia="en-GB"/>
              </w:rPr>
              <w:t xml:space="preserve"> </w:t>
            </w:r>
          </w:p>
        </w:tc>
      </w:tr>
      <w:tr w:rsidR="002B655F" w14:paraId="6C35DA7B" w14:textId="77777777" w:rsidTr="62B52220">
        <w:trPr>
          <w:trHeight w:val="395"/>
        </w:trPr>
        <w:tc>
          <w:tcPr>
            <w:tcW w:w="3881" w:type="dxa"/>
            <w:vMerge/>
            <w:tcMar>
              <w:top w:w="72" w:type="dxa"/>
              <w:left w:w="144" w:type="dxa"/>
              <w:bottom w:w="72" w:type="dxa"/>
              <w:right w:w="144" w:type="dxa"/>
            </w:tcMar>
          </w:tcPr>
          <w:p w14:paraId="0E184790" w14:textId="77777777" w:rsidR="002B655F" w:rsidRDefault="002B655F" w:rsidP="002B655F">
            <w:pPr>
              <w:tabs>
                <w:tab w:val="left" w:pos="413"/>
              </w:tabs>
              <w:spacing w:after="0" w:line="288" w:lineRule="auto"/>
              <w:rPr>
                <w:rFonts w:ascii="Arial" w:eastAsia="MS PGothic" w:hAnsi="Arial" w:cs="Arial"/>
                <w:kern w:val="24"/>
                <w:sz w:val="24"/>
                <w:szCs w:val="24"/>
                <w:lang w:eastAsia="en-GB"/>
              </w:rPr>
            </w:pPr>
          </w:p>
        </w:tc>
        <w:tc>
          <w:tcPr>
            <w:tcW w:w="8879" w:type="dxa"/>
            <w:shd w:val="clear" w:color="auto" w:fill="auto"/>
            <w:tcMar>
              <w:top w:w="72" w:type="dxa"/>
              <w:left w:w="144" w:type="dxa"/>
              <w:bottom w:w="72" w:type="dxa"/>
              <w:right w:w="144" w:type="dxa"/>
            </w:tcMar>
          </w:tcPr>
          <w:p w14:paraId="547E212C" w14:textId="77777777" w:rsidR="002B655F" w:rsidRPr="001A33D3" w:rsidRDefault="002B655F" w:rsidP="002B655F">
            <w:pPr>
              <w:spacing w:after="0" w:line="288" w:lineRule="auto"/>
              <w:ind w:left="360"/>
              <w:contextualSpacing/>
              <w:rPr>
                <w:rFonts w:ascii="Arial" w:eastAsia="MS PGothic" w:hAnsi="Arial" w:cs="Arial"/>
                <w:kern w:val="24"/>
                <w:sz w:val="24"/>
                <w:szCs w:val="24"/>
                <w:lang w:eastAsia="en-GB"/>
              </w:rPr>
            </w:pPr>
            <w:r w:rsidRPr="009C55D0">
              <w:rPr>
                <w:rFonts w:ascii="Arial" w:eastAsia="MS PGothic" w:hAnsi="Arial" w:cs="Arial"/>
                <w:kern w:val="24"/>
                <w:sz w:val="24"/>
                <w:szCs w:val="24"/>
                <w:lang w:eastAsia="en-GB"/>
              </w:rPr>
              <w:t xml:space="preserve">Develop a “Share and Declare” </w:t>
            </w:r>
            <w:proofErr w:type="spellStart"/>
            <w:r w:rsidRPr="009C55D0">
              <w:rPr>
                <w:rFonts w:ascii="Arial" w:eastAsia="MS PGothic" w:hAnsi="Arial" w:cs="Arial"/>
                <w:kern w:val="24"/>
                <w:sz w:val="24"/>
                <w:szCs w:val="24"/>
                <w:lang w:eastAsia="en-GB"/>
              </w:rPr>
              <w:t>PowerBI</w:t>
            </w:r>
            <w:proofErr w:type="spellEnd"/>
            <w:r w:rsidRPr="009C55D0">
              <w:rPr>
                <w:rFonts w:ascii="Arial" w:eastAsia="MS PGothic" w:hAnsi="Arial" w:cs="Arial"/>
                <w:kern w:val="24"/>
                <w:sz w:val="24"/>
                <w:szCs w:val="24"/>
                <w:lang w:eastAsia="en-GB"/>
              </w:rPr>
              <w:t xml:space="preserve"> dashboard and campaign targeting different directorates at a time, in order to encourage </w:t>
            </w:r>
            <w:r w:rsidRPr="50B07F44">
              <w:rPr>
                <w:rFonts w:ascii="Arial" w:eastAsia="MS PGothic" w:hAnsi="Arial" w:cs="Arial"/>
                <w:sz w:val="24"/>
                <w:szCs w:val="24"/>
                <w:lang w:eastAsia="en-GB"/>
              </w:rPr>
              <w:t xml:space="preserve">colleagues to self-report so we can highlight the importance of having accurate ESR data.  </w:t>
            </w:r>
          </w:p>
        </w:tc>
        <w:tc>
          <w:tcPr>
            <w:tcW w:w="1985" w:type="dxa"/>
            <w:shd w:val="clear" w:color="auto" w:fill="92D050"/>
            <w:tcMar>
              <w:top w:w="72" w:type="dxa"/>
              <w:left w:w="144" w:type="dxa"/>
              <w:bottom w:w="72" w:type="dxa"/>
              <w:right w:w="144" w:type="dxa"/>
            </w:tcMar>
          </w:tcPr>
          <w:p w14:paraId="05CB883A" w14:textId="77777777" w:rsidR="002B655F" w:rsidRDefault="002B655F" w:rsidP="002B655F">
            <w:pPr>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Green</w:t>
            </w:r>
          </w:p>
        </w:tc>
      </w:tr>
      <w:tr w:rsidR="002B655F" w:rsidRPr="0032430A" w14:paraId="65E91BC7" w14:textId="77777777" w:rsidTr="62B52220">
        <w:trPr>
          <w:trHeight w:val="395"/>
        </w:trPr>
        <w:tc>
          <w:tcPr>
            <w:tcW w:w="3881" w:type="dxa"/>
            <w:vMerge w:val="restart"/>
            <w:shd w:val="clear" w:color="auto" w:fill="auto"/>
            <w:tcMar>
              <w:top w:w="72" w:type="dxa"/>
              <w:left w:w="144" w:type="dxa"/>
              <w:bottom w:w="72" w:type="dxa"/>
              <w:right w:w="144" w:type="dxa"/>
            </w:tcMar>
          </w:tcPr>
          <w:p w14:paraId="690B9079" w14:textId="77777777" w:rsidR="002B655F" w:rsidRDefault="002B655F" w:rsidP="002B655F">
            <w:pPr>
              <w:tabs>
                <w:tab w:val="left" w:pos="413"/>
              </w:tabs>
              <w:spacing w:after="0" w:line="288" w:lineRule="auto"/>
              <w:rPr>
                <w:rFonts w:ascii="Arial" w:eastAsia="MS PGothic" w:hAnsi="Arial" w:cs="Arial"/>
                <w:kern w:val="24"/>
                <w:sz w:val="24"/>
                <w:szCs w:val="24"/>
                <w:lang w:eastAsia="en-GB"/>
              </w:rPr>
            </w:pPr>
            <w:r>
              <w:rPr>
                <w:rFonts w:ascii="Arial" w:eastAsia="MS PGothic" w:hAnsi="Arial" w:cs="Arial"/>
                <w:kern w:val="24"/>
                <w:sz w:val="24"/>
                <w:szCs w:val="24"/>
                <w:lang w:eastAsia="en-GB"/>
              </w:rPr>
              <w:t>Inclusive Engagement</w:t>
            </w:r>
          </w:p>
        </w:tc>
        <w:tc>
          <w:tcPr>
            <w:tcW w:w="8879" w:type="dxa"/>
            <w:shd w:val="clear" w:color="auto" w:fill="auto"/>
            <w:tcMar>
              <w:top w:w="72" w:type="dxa"/>
              <w:left w:w="144" w:type="dxa"/>
              <w:bottom w:w="72" w:type="dxa"/>
              <w:right w:w="144" w:type="dxa"/>
            </w:tcMar>
          </w:tcPr>
          <w:p w14:paraId="7BB27275" w14:textId="77777777" w:rsidR="002B655F" w:rsidRPr="00D94EE3" w:rsidRDefault="002B655F" w:rsidP="002B655F">
            <w:pPr>
              <w:spacing w:after="0" w:line="288" w:lineRule="auto"/>
              <w:ind w:left="360"/>
              <w:contextualSpacing/>
              <w:rPr>
                <w:rFonts w:ascii="Arial" w:eastAsia="MS PGothic" w:hAnsi="Arial" w:cs="Arial"/>
                <w:kern w:val="24"/>
                <w:sz w:val="24"/>
                <w:szCs w:val="24"/>
                <w:highlight w:val="yellow"/>
                <w:lang w:eastAsia="en-GB"/>
              </w:rPr>
            </w:pPr>
            <w:r w:rsidRPr="00111134">
              <w:rPr>
                <w:rFonts w:ascii="Arial" w:eastAsia="MS PGothic" w:hAnsi="Arial" w:cs="Arial"/>
                <w:kern w:val="24"/>
                <w:sz w:val="24"/>
                <w:szCs w:val="24"/>
                <w:lang w:eastAsia="en-GB"/>
              </w:rPr>
              <w:t>Introduce an accessibility working group to identify and remove accessibility barriers within CQC</w:t>
            </w:r>
            <w:r>
              <w:rPr>
                <w:rFonts w:ascii="Arial" w:eastAsia="MS PGothic" w:hAnsi="Arial" w:cs="Arial"/>
                <w:kern w:val="24"/>
                <w:sz w:val="24"/>
                <w:szCs w:val="24"/>
                <w:lang w:eastAsia="en-GB"/>
              </w:rPr>
              <w:t>.</w:t>
            </w:r>
          </w:p>
        </w:tc>
        <w:tc>
          <w:tcPr>
            <w:tcW w:w="1985" w:type="dxa"/>
            <w:shd w:val="clear" w:color="auto" w:fill="92D050"/>
            <w:tcMar>
              <w:top w:w="72" w:type="dxa"/>
              <w:left w:w="144" w:type="dxa"/>
              <w:bottom w:w="72" w:type="dxa"/>
              <w:right w:w="144" w:type="dxa"/>
            </w:tcMar>
          </w:tcPr>
          <w:p w14:paraId="07DDE00E" w14:textId="77777777" w:rsidR="002B655F" w:rsidRPr="0032430A" w:rsidRDefault="002B655F" w:rsidP="002B655F">
            <w:pPr>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Green</w:t>
            </w:r>
          </w:p>
        </w:tc>
      </w:tr>
      <w:tr w:rsidR="002B655F" w14:paraId="31E32D9B" w14:textId="77777777" w:rsidTr="62B52220">
        <w:trPr>
          <w:trHeight w:val="395"/>
        </w:trPr>
        <w:tc>
          <w:tcPr>
            <w:tcW w:w="3881" w:type="dxa"/>
            <w:vMerge/>
            <w:tcMar>
              <w:top w:w="72" w:type="dxa"/>
              <w:left w:w="144" w:type="dxa"/>
              <w:bottom w:w="72" w:type="dxa"/>
              <w:right w:w="144" w:type="dxa"/>
            </w:tcMar>
          </w:tcPr>
          <w:p w14:paraId="3ADB7EF4" w14:textId="77777777" w:rsidR="002B655F" w:rsidRDefault="002B655F" w:rsidP="002B655F">
            <w:pPr>
              <w:tabs>
                <w:tab w:val="left" w:pos="413"/>
              </w:tabs>
              <w:spacing w:after="0" w:line="288" w:lineRule="auto"/>
              <w:rPr>
                <w:rFonts w:ascii="Arial" w:eastAsia="MS PGothic" w:hAnsi="Arial" w:cs="Arial"/>
                <w:kern w:val="24"/>
                <w:sz w:val="24"/>
                <w:szCs w:val="24"/>
                <w:lang w:eastAsia="en-GB"/>
              </w:rPr>
            </w:pPr>
          </w:p>
        </w:tc>
        <w:tc>
          <w:tcPr>
            <w:tcW w:w="8879" w:type="dxa"/>
            <w:shd w:val="clear" w:color="auto" w:fill="auto"/>
            <w:tcMar>
              <w:top w:w="72" w:type="dxa"/>
              <w:left w:w="144" w:type="dxa"/>
              <w:bottom w:w="72" w:type="dxa"/>
              <w:right w:w="144" w:type="dxa"/>
            </w:tcMar>
          </w:tcPr>
          <w:p w14:paraId="11A2326E" w14:textId="77777777" w:rsidR="002B655F" w:rsidRPr="001A33D3" w:rsidRDefault="002B655F" w:rsidP="002B655F">
            <w:pPr>
              <w:spacing w:after="0" w:line="288" w:lineRule="auto"/>
              <w:ind w:left="360"/>
              <w:contextualSpacing/>
              <w:rPr>
                <w:rFonts w:ascii="Arial" w:eastAsia="MS PGothic" w:hAnsi="Arial" w:cs="Arial"/>
                <w:kern w:val="24"/>
                <w:sz w:val="24"/>
                <w:szCs w:val="24"/>
                <w:lang w:eastAsia="en-GB"/>
              </w:rPr>
            </w:pPr>
            <w:r w:rsidRPr="001A33D3">
              <w:rPr>
                <w:rFonts w:ascii="Arial" w:eastAsia="MS PGothic" w:hAnsi="Arial" w:cs="Arial"/>
                <w:kern w:val="24"/>
                <w:sz w:val="24"/>
                <w:szCs w:val="24"/>
                <w:lang w:eastAsia="en-GB"/>
              </w:rPr>
              <w:t>Transform the Freedom to Speak Up Ambassador roles in the organisation and introduce Colleague Support Officers (CSO). Develop working relationships between the new CSO roles and our Network Chairs, D&amp;I Coordinators and Wellbeing Leads, in order to integrate CSO roles into Equality Networks and directorates.</w:t>
            </w:r>
          </w:p>
        </w:tc>
        <w:tc>
          <w:tcPr>
            <w:tcW w:w="1985" w:type="dxa"/>
            <w:shd w:val="clear" w:color="auto" w:fill="92D050"/>
            <w:tcMar>
              <w:top w:w="72" w:type="dxa"/>
              <w:left w:w="144" w:type="dxa"/>
              <w:bottom w:w="72" w:type="dxa"/>
              <w:right w:w="144" w:type="dxa"/>
            </w:tcMar>
          </w:tcPr>
          <w:p w14:paraId="16756CFF" w14:textId="32F995CE" w:rsidR="002B655F" w:rsidRDefault="0061766B" w:rsidP="002B655F">
            <w:pPr>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Work underway to implement new roles</w:t>
            </w:r>
          </w:p>
        </w:tc>
      </w:tr>
    </w:tbl>
    <w:p w14:paraId="766B4AF5" w14:textId="77777777" w:rsidR="00B545F1" w:rsidRDefault="00B545F1">
      <w:pPr>
        <w:rPr>
          <w:rFonts w:ascii="Arial" w:hAnsi="Arial" w:cs="Arial"/>
          <w:b/>
          <w:bCs/>
          <w:color w:val="000000" w:themeColor="text1"/>
          <w:sz w:val="28"/>
          <w:szCs w:val="28"/>
          <w:u w:val="single"/>
        </w:rPr>
      </w:pPr>
      <w:r>
        <w:rPr>
          <w:rFonts w:ascii="Arial" w:hAnsi="Arial" w:cs="Arial"/>
          <w:b/>
          <w:bCs/>
          <w:color w:val="000000" w:themeColor="text1"/>
          <w:sz w:val="28"/>
          <w:szCs w:val="28"/>
          <w:u w:val="single"/>
        </w:rPr>
        <w:br w:type="page"/>
      </w:r>
    </w:p>
    <w:p w14:paraId="68A37C87" w14:textId="4CA0587C" w:rsidR="00FF45BE" w:rsidRPr="0032430A" w:rsidRDefault="00154508" w:rsidP="00154508">
      <w:pPr>
        <w:spacing w:line="420" w:lineRule="atLeast"/>
        <w:rPr>
          <w:rFonts w:ascii="Arial" w:hAnsi="Arial" w:cs="Arial"/>
          <w:b/>
          <w:bCs/>
          <w:color w:val="000000" w:themeColor="text1"/>
          <w:sz w:val="28"/>
          <w:szCs w:val="28"/>
          <w:u w:val="single"/>
        </w:rPr>
      </w:pPr>
      <w:r>
        <w:rPr>
          <w:rFonts w:ascii="Arial" w:hAnsi="Arial" w:cs="Arial"/>
          <w:b/>
          <w:bCs/>
          <w:color w:val="000000" w:themeColor="text1"/>
          <w:sz w:val="28"/>
          <w:szCs w:val="28"/>
          <w:u w:val="single"/>
        </w:rPr>
        <w:lastRenderedPageBreak/>
        <w:t xml:space="preserve">Table </w:t>
      </w:r>
      <w:r w:rsidR="00C055DD">
        <w:rPr>
          <w:rFonts w:ascii="Arial" w:hAnsi="Arial" w:cs="Arial"/>
          <w:b/>
          <w:bCs/>
          <w:color w:val="000000" w:themeColor="text1"/>
          <w:sz w:val="28"/>
          <w:szCs w:val="28"/>
          <w:u w:val="single"/>
        </w:rPr>
        <w:t>2</w:t>
      </w:r>
      <w:r>
        <w:rPr>
          <w:rFonts w:ascii="Arial" w:hAnsi="Arial" w:cs="Arial"/>
          <w:b/>
          <w:bCs/>
          <w:color w:val="000000" w:themeColor="text1"/>
          <w:sz w:val="28"/>
          <w:szCs w:val="28"/>
          <w:u w:val="single"/>
        </w:rPr>
        <w:t xml:space="preserve">: </w:t>
      </w:r>
      <w:r w:rsidR="004E7737" w:rsidRPr="0032430A">
        <w:rPr>
          <w:rFonts w:ascii="Arial" w:hAnsi="Arial" w:cs="Arial"/>
          <w:b/>
          <w:bCs/>
          <w:color w:val="000000" w:themeColor="text1"/>
          <w:sz w:val="28"/>
          <w:szCs w:val="28"/>
          <w:u w:val="single"/>
        </w:rPr>
        <w:t>Equality Objectives: Measures of success July 2022</w:t>
      </w:r>
    </w:p>
    <w:p w14:paraId="069D603F" w14:textId="77777777" w:rsidR="00145E5F" w:rsidRPr="0022549A" w:rsidRDefault="001D520C" w:rsidP="0022549A">
      <w:pPr>
        <w:pStyle w:val="ListParagraph"/>
        <w:numPr>
          <w:ilvl w:val="0"/>
          <w:numId w:val="1"/>
        </w:numPr>
        <w:spacing w:line="264" w:lineRule="auto"/>
        <w:rPr>
          <w:rFonts w:ascii="Arial" w:hAnsi="Arial" w:cs="Arial"/>
          <w:color w:val="2F5496" w:themeColor="accent1" w:themeShade="BF"/>
          <w:sz w:val="24"/>
          <w:szCs w:val="24"/>
        </w:rPr>
      </w:pPr>
      <w:r w:rsidRPr="0022549A">
        <w:rPr>
          <w:rFonts w:ascii="Arial" w:hAnsi="Arial" w:cs="Arial"/>
          <w:color w:val="000000" w:themeColor="text1"/>
          <w:sz w:val="24"/>
          <w:szCs w:val="24"/>
        </w:rPr>
        <w:t>Measu</w:t>
      </w:r>
      <w:r w:rsidR="00F34B6E" w:rsidRPr="0022549A">
        <w:rPr>
          <w:rFonts w:ascii="Arial" w:hAnsi="Arial" w:cs="Arial"/>
          <w:color w:val="000000" w:themeColor="text1"/>
          <w:sz w:val="24"/>
          <w:szCs w:val="24"/>
        </w:rPr>
        <w:t>r</w:t>
      </w:r>
      <w:r w:rsidRPr="0022549A">
        <w:rPr>
          <w:rFonts w:ascii="Arial" w:hAnsi="Arial" w:cs="Arial"/>
          <w:color w:val="000000" w:themeColor="text1"/>
          <w:sz w:val="24"/>
          <w:szCs w:val="24"/>
        </w:rPr>
        <w:t xml:space="preserve">es of success </w:t>
      </w:r>
      <w:r w:rsidR="00F34B6E" w:rsidRPr="0022549A">
        <w:rPr>
          <w:rFonts w:ascii="Arial" w:hAnsi="Arial" w:cs="Arial"/>
          <w:color w:val="000000" w:themeColor="text1"/>
          <w:sz w:val="24"/>
          <w:szCs w:val="24"/>
        </w:rPr>
        <w:t xml:space="preserve">for each equality objective were published in July 2021, within </w:t>
      </w:r>
      <w:hyperlink r:id="rId11" w:history="1">
        <w:r w:rsidR="00F34B6E" w:rsidRPr="0022549A">
          <w:rPr>
            <w:rStyle w:val="Hyperlink"/>
            <w:rFonts w:ascii="Arial" w:hAnsi="Arial" w:cs="Arial"/>
            <w:color w:val="2F5496" w:themeColor="accent1" w:themeShade="BF"/>
            <w:sz w:val="24"/>
            <w:szCs w:val="24"/>
          </w:rPr>
          <w:t>our Equality Objectives</w:t>
        </w:r>
      </w:hyperlink>
      <w:r w:rsidR="00F34B6E" w:rsidRPr="0022549A">
        <w:rPr>
          <w:rFonts w:ascii="Arial" w:hAnsi="Arial" w:cs="Arial"/>
          <w:color w:val="2F5496" w:themeColor="accent1" w:themeShade="BF"/>
          <w:sz w:val="24"/>
          <w:szCs w:val="24"/>
        </w:rPr>
        <w:t>.</w:t>
      </w:r>
    </w:p>
    <w:p w14:paraId="671C198C" w14:textId="6823E49A" w:rsidR="001D520C" w:rsidRPr="0022549A" w:rsidRDefault="00787C16" w:rsidP="0022549A">
      <w:pPr>
        <w:pStyle w:val="ListParagraph"/>
        <w:numPr>
          <w:ilvl w:val="0"/>
          <w:numId w:val="1"/>
        </w:numPr>
        <w:spacing w:line="264" w:lineRule="auto"/>
        <w:rPr>
          <w:rFonts w:ascii="Arial" w:hAnsi="Arial" w:cs="Arial"/>
          <w:color w:val="000000" w:themeColor="text1"/>
          <w:sz w:val="24"/>
          <w:szCs w:val="24"/>
        </w:rPr>
      </w:pPr>
      <w:r w:rsidRPr="0022549A">
        <w:rPr>
          <w:rFonts w:ascii="Arial" w:hAnsi="Arial" w:cs="Arial"/>
          <w:color w:val="000000" w:themeColor="text1"/>
          <w:sz w:val="24"/>
          <w:szCs w:val="24"/>
        </w:rPr>
        <w:t>Many of t</w:t>
      </w:r>
      <w:r w:rsidR="008B6A2F" w:rsidRPr="0022549A">
        <w:rPr>
          <w:rFonts w:ascii="Arial" w:hAnsi="Arial" w:cs="Arial"/>
          <w:color w:val="000000" w:themeColor="text1"/>
          <w:sz w:val="24"/>
          <w:szCs w:val="24"/>
        </w:rPr>
        <w:t>he measures were designed to align with strategy indicators</w:t>
      </w:r>
      <w:r w:rsidR="00661980" w:rsidRPr="0022549A">
        <w:rPr>
          <w:rFonts w:ascii="Arial" w:hAnsi="Arial" w:cs="Arial"/>
          <w:color w:val="000000" w:themeColor="text1"/>
          <w:sz w:val="24"/>
          <w:szCs w:val="24"/>
        </w:rPr>
        <w:t xml:space="preserve"> and </w:t>
      </w:r>
      <w:r w:rsidR="00D04F0A" w:rsidRPr="0022549A">
        <w:rPr>
          <w:rFonts w:ascii="Arial" w:hAnsi="Arial" w:cs="Arial"/>
          <w:color w:val="000000" w:themeColor="text1"/>
          <w:sz w:val="24"/>
          <w:szCs w:val="24"/>
        </w:rPr>
        <w:t>supplementary data points</w:t>
      </w:r>
      <w:r w:rsidR="008B6A2F" w:rsidRPr="0022549A">
        <w:rPr>
          <w:rFonts w:ascii="Arial" w:hAnsi="Arial" w:cs="Arial"/>
          <w:color w:val="000000" w:themeColor="text1"/>
          <w:sz w:val="24"/>
          <w:szCs w:val="24"/>
        </w:rPr>
        <w:t xml:space="preserve"> to make collection and </w:t>
      </w:r>
      <w:r w:rsidRPr="0022549A">
        <w:rPr>
          <w:rFonts w:ascii="Arial" w:hAnsi="Arial" w:cs="Arial"/>
          <w:color w:val="000000" w:themeColor="text1"/>
          <w:sz w:val="24"/>
          <w:szCs w:val="24"/>
        </w:rPr>
        <w:t>analysis more streamlined.</w:t>
      </w:r>
    </w:p>
    <w:p w14:paraId="2050FFE8" w14:textId="19956561" w:rsidR="00145E5F" w:rsidRPr="0022549A" w:rsidRDefault="00ED55EF" w:rsidP="0022549A">
      <w:pPr>
        <w:pStyle w:val="ListParagraph"/>
        <w:numPr>
          <w:ilvl w:val="0"/>
          <w:numId w:val="1"/>
        </w:numPr>
        <w:spacing w:line="264" w:lineRule="auto"/>
        <w:rPr>
          <w:rFonts w:ascii="Arial" w:hAnsi="Arial" w:cs="Arial"/>
          <w:color w:val="000000" w:themeColor="text1"/>
          <w:sz w:val="24"/>
          <w:szCs w:val="24"/>
        </w:rPr>
      </w:pPr>
      <w:r w:rsidRPr="0022549A">
        <w:rPr>
          <w:rFonts w:ascii="Arial" w:hAnsi="Arial" w:cs="Arial"/>
          <w:color w:val="000000" w:themeColor="text1"/>
          <w:sz w:val="24"/>
          <w:szCs w:val="24"/>
        </w:rPr>
        <w:t>Many of these are baseline figures, so a commentary on perform</w:t>
      </w:r>
      <w:r w:rsidR="001B1C09" w:rsidRPr="0022549A">
        <w:rPr>
          <w:rFonts w:ascii="Arial" w:hAnsi="Arial" w:cs="Arial"/>
          <w:color w:val="000000" w:themeColor="text1"/>
          <w:sz w:val="24"/>
          <w:szCs w:val="24"/>
        </w:rPr>
        <w:t>an</w:t>
      </w:r>
      <w:r w:rsidRPr="0022549A">
        <w:rPr>
          <w:rFonts w:ascii="Arial" w:hAnsi="Arial" w:cs="Arial"/>
          <w:color w:val="000000" w:themeColor="text1"/>
          <w:sz w:val="24"/>
          <w:szCs w:val="24"/>
        </w:rPr>
        <w:t>ce will only be possible in future years.</w:t>
      </w:r>
    </w:p>
    <w:p w14:paraId="4881FDE3" w14:textId="357F5F4C" w:rsidR="001B1C09" w:rsidRPr="0022549A" w:rsidRDefault="001B1C09" w:rsidP="0022549A">
      <w:pPr>
        <w:pStyle w:val="ListParagraph"/>
        <w:numPr>
          <w:ilvl w:val="0"/>
          <w:numId w:val="1"/>
        </w:numPr>
        <w:spacing w:line="264" w:lineRule="auto"/>
        <w:rPr>
          <w:rFonts w:ascii="Arial" w:hAnsi="Arial" w:cs="Arial"/>
          <w:color w:val="000000" w:themeColor="text1"/>
          <w:sz w:val="24"/>
          <w:szCs w:val="24"/>
        </w:rPr>
      </w:pPr>
      <w:r w:rsidRPr="0022549A">
        <w:rPr>
          <w:rFonts w:ascii="Arial" w:hAnsi="Arial" w:cs="Arial"/>
          <w:color w:val="000000" w:themeColor="text1"/>
          <w:sz w:val="24"/>
          <w:szCs w:val="24"/>
        </w:rPr>
        <w:t xml:space="preserve">Figures given are for 2021/22 unless otherwise stated. </w:t>
      </w:r>
    </w:p>
    <w:p w14:paraId="4910B8F0" w14:textId="5C0A8F30" w:rsidR="00324256" w:rsidRPr="0022549A" w:rsidRDefault="00EA4E84" w:rsidP="0022549A">
      <w:pPr>
        <w:pStyle w:val="ListParagraph"/>
        <w:numPr>
          <w:ilvl w:val="0"/>
          <w:numId w:val="1"/>
        </w:numPr>
        <w:spacing w:line="264" w:lineRule="auto"/>
        <w:rPr>
          <w:rFonts w:ascii="Arial" w:hAnsi="Arial" w:cs="Arial"/>
          <w:color w:val="000000" w:themeColor="text1"/>
          <w:sz w:val="24"/>
          <w:szCs w:val="24"/>
        </w:rPr>
      </w:pPr>
      <w:r w:rsidRPr="0022549A">
        <w:rPr>
          <w:rFonts w:ascii="Arial" w:hAnsi="Arial" w:cs="Arial"/>
          <w:color w:val="000000" w:themeColor="text1"/>
          <w:sz w:val="24"/>
          <w:szCs w:val="24"/>
        </w:rPr>
        <w:t xml:space="preserve">Ranges applied for </w:t>
      </w:r>
      <w:r w:rsidR="00315C14" w:rsidRPr="0022549A">
        <w:rPr>
          <w:rFonts w:ascii="Arial" w:hAnsi="Arial" w:cs="Arial"/>
          <w:color w:val="000000" w:themeColor="text1"/>
          <w:sz w:val="24"/>
          <w:szCs w:val="24"/>
        </w:rPr>
        <w:t xml:space="preserve">RAG rating </w:t>
      </w:r>
      <w:r w:rsidRPr="0022549A">
        <w:rPr>
          <w:rFonts w:ascii="Arial" w:hAnsi="Arial" w:cs="Arial"/>
          <w:color w:val="000000" w:themeColor="text1"/>
          <w:sz w:val="24"/>
          <w:szCs w:val="24"/>
        </w:rPr>
        <w:t xml:space="preserve">sentiment indicators: 50% </w:t>
      </w:r>
      <w:r w:rsidR="009E722E" w:rsidRPr="0022549A">
        <w:rPr>
          <w:rFonts w:ascii="Arial" w:hAnsi="Arial" w:cs="Arial"/>
          <w:color w:val="000000" w:themeColor="text1"/>
          <w:sz w:val="24"/>
          <w:szCs w:val="24"/>
        </w:rPr>
        <w:t xml:space="preserve">or below </w:t>
      </w:r>
      <w:r w:rsidR="00D507B1" w:rsidRPr="0022549A">
        <w:rPr>
          <w:rFonts w:ascii="Arial" w:hAnsi="Arial" w:cs="Arial"/>
          <w:color w:val="000000" w:themeColor="text1"/>
          <w:sz w:val="24"/>
          <w:szCs w:val="24"/>
        </w:rPr>
        <w:t>agreement= red, 51-75% agreement =Amber, Above 75%=green</w:t>
      </w:r>
    </w:p>
    <w:p w14:paraId="1991529D" w14:textId="77777777" w:rsidR="006162B6" w:rsidRPr="0022549A" w:rsidRDefault="006162B6" w:rsidP="0022549A">
      <w:pPr>
        <w:pStyle w:val="ListParagraph"/>
        <w:spacing w:after="120" w:line="264" w:lineRule="auto"/>
        <w:ind w:left="0"/>
        <w:rPr>
          <w:rFonts w:ascii="Arial" w:hAnsi="Arial" w:cs="Arial"/>
          <w:sz w:val="24"/>
          <w:szCs w:val="24"/>
        </w:rPr>
      </w:pPr>
    </w:p>
    <w:p w14:paraId="5E0D0CB9" w14:textId="6B928D94" w:rsidR="00D2726C" w:rsidRPr="0022549A" w:rsidRDefault="00B26914" w:rsidP="0022549A">
      <w:pPr>
        <w:pStyle w:val="ListParagraph"/>
        <w:spacing w:after="120" w:line="264" w:lineRule="auto"/>
        <w:ind w:left="0"/>
        <w:rPr>
          <w:rFonts w:ascii="Arial" w:hAnsi="Arial" w:cs="Arial"/>
          <w:sz w:val="24"/>
          <w:szCs w:val="24"/>
        </w:rPr>
      </w:pPr>
      <w:r w:rsidRPr="0022549A">
        <w:rPr>
          <w:rFonts w:ascii="Arial" w:hAnsi="Arial" w:cs="Arial"/>
          <w:sz w:val="24"/>
          <w:szCs w:val="24"/>
        </w:rPr>
        <w:t>Please note the following caveats</w:t>
      </w:r>
      <w:r w:rsidR="0054463B" w:rsidRPr="0022549A">
        <w:rPr>
          <w:rFonts w:ascii="Arial" w:hAnsi="Arial" w:cs="Arial"/>
          <w:sz w:val="24"/>
          <w:szCs w:val="24"/>
        </w:rPr>
        <w:t xml:space="preserve"> (for more information </w:t>
      </w:r>
      <w:r w:rsidR="00EC4A3B" w:rsidRPr="0022549A">
        <w:rPr>
          <w:rFonts w:ascii="Arial" w:hAnsi="Arial" w:cs="Arial"/>
          <w:sz w:val="24"/>
          <w:szCs w:val="24"/>
        </w:rPr>
        <w:t>please s</w:t>
      </w:r>
      <w:r w:rsidR="005661A6" w:rsidRPr="0022549A">
        <w:rPr>
          <w:rFonts w:ascii="Arial" w:hAnsi="Arial" w:cs="Arial"/>
          <w:sz w:val="24"/>
          <w:szCs w:val="24"/>
        </w:rPr>
        <w:t xml:space="preserve">ee Table </w:t>
      </w:r>
      <w:r w:rsidR="00CD0DE7" w:rsidRPr="0022549A">
        <w:rPr>
          <w:rFonts w:ascii="Arial" w:hAnsi="Arial" w:cs="Arial"/>
          <w:sz w:val="24"/>
          <w:szCs w:val="24"/>
        </w:rPr>
        <w:t>3</w:t>
      </w:r>
      <w:r w:rsidR="005661A6" w:rsidRPr="0022549A">
        <w:rPr>
          <w:rFonts w:ascii="Arial" w:hAnsi="Arial" w:cs="Arial"/>
          <w:sz w:val="24"/>
          <w:szCs w:val="24"/>
        </w:rPr>
        <w:t xml:space="preserve"> at the end of the document)</w:t>
      </w:r>
      <w:r w:rsidRPr="0022549A">
        <w:rPr>
          <w:rFonts w:ascii="Arial" w:hAnsi="Arial" w:cs="Arial"/>
          <w:sz w:val="24"/>
          <w:szCs w:val="24"/>
        </w:rPr>
        <w:t>:</w:t>
      </w:r>
    </w:p>
    <w:p w14:paraId="35ADEF7F" w14:textId="1178A65B" w:rsidR="00D2726C" w:rsidRPr="0022549A" w:rsidRDefault="00D2726C" w:rsidP="0022549A">
      <w:pPr>
        <w:pStyle w:val="ListParagraph"/>
        <w:numPr>
          <w:ilvl w:val="0"/>
          <w:numId w:val="1"/>
        </w:numPr>
        <w:spacing w:after="0" w:line="264" w:lineRule="auto"/>
        <w:contextualSpacing w:val="0"/>
        <w:rPr>
          <w:rFonts w:ascii="Arial" w:hAnsi="Arial" w:cs="Arial"/>
          <w:sz w:val="24"/>
          <w:szCs w:val="24"/>
        </w:rPr>
      </w:pPr>
      <w:r w:rsidRPr="0022549A">
        <w:rPr>
          <w:rFonts w:ascii="Arial" w:hAnsi="Arial" w:cs="Arial"/>
          <w:sz w:val="24"/>
          <w:szCs w:val="24"/>
        </w:rPr>
        <w:t xml:space="preserve">Not all data is yet available to assess the </w:t>
      </w:r>
      <w:r w:rsidR="0095505F" w:rsidRPr="0022549A">
        <w:rPr>
          <w:rFonts w:ascii="Arial" w:hAnsi="Arial" w:cs="Arial"/>
          <w:sz w:val="24"/>
          <w:szCs w:val="24"/>
        </w:rPr>
        <w:t>equality</w:t>
      </w:r>
      <w:r w:rsidRPr="0022549A">
        <w:rPr>
          <w:rFonts w:ascii="Arial" w:hAnsi="Arial" w:cs="Arial"/>
          <w:sz w:val="24"/>
          <w:szCs w:val="24"/>
        </w:rPr>
        <w:t xml:space="preserve"> </w:t>
      </w:r>
      <w:r w:rsidR="0095505F" w:rsidRPr="0022549A">
        <w:rPr>
          <w:rFonts w:ascii="Arial" w:hAnsi="Arial" w:cs="Arial"/>
          <w:sz w:val="24"/>
          <w:szCs w:val="24"/>
        </w:rPr>
        <w:t>objectives</w:t>
      </w:r>
      <w:r w:rsidRPr="0022549A">
        <w:rPr>
          <w:rFonts w:ascii="Arial" w:hAnsi="Arial" w:cs="Arial"/>
          <w:sz w:val="24"/>
          <w:szCs w:val="24"/>
        </w:rPr>
        <w:t>, with more objective data being absent. This means there is an emphasis on the views of people, services and stakeholders.</w:t>
      </w:r>
    </w:p>
    <w:p w14:paraId="6CC9B041" w14:textId="77777777" w:rsidR="00D2726C" w:rsidRPr="0022549A" w:rsidRDefault="00D2726C" w:rsidP="0022549A">
      <w:pPr>
        <w:pStyle w:val="ListParagraph"/>
        <w:numPr>
          <w:ilvl w:val="0"/>
          <w:numId w:val="1"/>
        </w:numPr>
        <w:spacing w:after="0" w:line="264" w:lineRule="auto"/>
        <w:contextualSpacing w:val="0"/>
        <w:rPr>
          <w:rFonts w:ascii="Arial" w:hAnsi="Arial" w:cs="Arial"/>
          <w:sz w:val="24"/>
          <w:szCs w:val="24"/>
        </w:rPr>
      </w:pPr>
      <w:r w:rsidRPr="0022549A">
        <w:rPr>
          <w:rFonts w:ascii="Arial" w:hAnsi="Arial" w:cs="Arial"/>
          <w:sz w:val="24"/>
          <w:szCs w:val="24"/>
        </w:rPr>
        <w:t>As we have undertaken extensive engagement to articulate our strategic intent providers and stakeholders may be feeding back based on what we plan to do, rather than actual delivery. We may therefore see results temporarily decline from high baselines as we begin to implement our strategy but before it is fully realised.</w:t>
      </w:r>
    </w:p>
    <w:p w14:paraId="107B94A5" w14:textId="4231ADC0" w:rsidR="00D2726C" w:rsidRPr="0022549A" w:rsidRDefault="00D2726C" w:rsidP="0022549A">
      <w:pPr>
        <w:pStyle w:val="ListParagraph"/>
        <w:numPr>
          <w:ilvl w:val="0"/>
          <w:numId w:val="1"/>
        </w:numPr>
        <w:spacing w:after="120" w:line="264" w:lineRule="auto"/>
        <w:contextualSpacing w:val="0"/>
        <w:rPr>
          <w:rFonts w:ascii="Arial" w:hAnsi="Arial" w:cs="Arial"/>
          <w:sz w:val="24"/>
          <w:szCs w:val="24"/>
        </w:rPr>
      </w:pPr>
      <w:r w:rsidRPr="0022549A">
        <w:rPr>
          <w:rFonts w:ascii="Arial" w:hAnsi="Arial" w:cs="Arial"/>
          <w:sz w:val="24"/>
          <w:szCs w:val="24"/>
        </w:rPr>
        <w:t xml:space="preserve">Some data is based on low sample sizes this year, and others are unweighted (i.e. the stakeholder survey). They may, therefore, not be fully reliable and shifts in results next year for these indicators will therefore need to be treated with caution. </w:t>
      </w:r>
    </w:p>
    <w:p w14:paraId="5E33286B" w14:textId="218F2E57" w:rsidR="000139BB" w:rsidRPr="0022549A" w:rsidRDefault="000139BB" w:rsidP="0022549A">
      <w:pPr>
        <w:spacing w:after="120" w:line="264" w:lineRule="auto"/>
        <w:rPr>
          <w:rFonts w:ascii="Arial" w:hAnsi="Arial" w:cs="Arial"/>
          <w:sz w:val="24"/>
          <w:szCs w:val="24"/>
        </w:rPr>
      </w:pPr>
    </w:p>
    <w:p w14:paraId="2A39CBDE" w14:textId="77777777" w:rsidR="000139BB" w:rsidRPr="0022549A" w:rsidRDefault="000139BB" w:rsidP="0022549A">
      <w:pPr>
        <w:pStyle w:val="Heading1"/>
        <w:spacing w:line="264" w:lineRule="auto"/>
        <w:ind w:left="360"/>
        <w:rPr>
          <w:rFonts w:ascii="Arial" w:hAnsi="Arial" w:cs="Arial"/>
          <w:b/>
          <w:bCs/>
          <w:color w:val="000000" w:themeColor="text1"/>
          <w:sz w:val="24"/>
          <w:szCs w:val="24"/>
        </w:rPr>
      </w:pPr>
      <w:r w:rsidRPr="0022549A">
        <w:rPr>
          <w:rFonts w:ascii="Arial" w:hAnsi="Arial" w:cs="Arial"/>
          <w:b/>
          <w:bCs/>
          <w:color w:val="000000" w:themeColor="text1"/>
          <w:sz w:val="24"/>
          <w:szCs w:val="24"/>
        </w:rPr>
        <w:t>Overarching measures of meeting the needs of people more likely to have poor care</w:t>
      </w:r>
    </w:p>
    <w:p w14:paraId="064EBAB9" w14:textId="77777777" w:rsidR="000139BB" w:rsidRPr="0022549A" w:rsidRDefault="000139BB" w:rsidP="0022549A">
      <w:pPr>
        <w:spacing w:line="264" w:lineRule="auto"/>
        <w:rPr>
          <w:rFonts w:ascii="Arial" w:hAnsi="Arial" w:cs="Arial"/>
          <w:sz w:val="24"/>
          <w:szCs w:val="24"/>
        </w:rPr>
      </w:pPr>
    </w:p>
    <w:p w14:paraId="155E1218" w14:textId="5D9D63A4" w:rsidR="000139BB" w:rsidRPr="0022549A" w:rsidRDefault="000139BB" w:rsidP="0022549A">
      <w:pPr>
        <w:spacing w:line="264" w:lineRule="auto"/>
        <w:rPr>
          <w:rFonts w:ascii="Arial" w:hAnsi="Arial" w:cs="Arial"/>
          <w:sz w:val="24"/>
          <w:szCs w:val="24"/>
        </w:rPr>
      </w:pPr>
      <w:r w:rsidRPr="05A74CAE">
        <w:rPr>
          <w:rFonts w:ascii="Arial" w:hAnsi="Arial" w:cs="Arial"/>
          <w:sz w:val="24"/>
          <w:szCs w:val="24"/>
        </w:rPr>
        <w:t xml:space="preserve">These measures </w:t>
      </w:r>
      <w:r w:rsidR="00ED5F2E" w:rsidRPr="05A74CAE">
        <w:rPr>
          <w:rFonts w:ascii="Arial" w:hAnsi="Arial" w:cs="Arial"/>
          <w:sz w:val="24"/>
          <w:szCs w:val="24"/>
        </w:rPr>
        <w:t xml:space="preserve">are </w:t>
      </w:r>
      <w:r w:rsidRPr="05A74CAE">
        <w:rPr>
          <w:rFonts w:ascii="Arial" w:hAnsi="Arial" w:cs="Arial"/>
          <w:sz w:val="24"/>
          <w:szCs w:val="24"/>
        </w:rPr>
        <w:t>taken from our Annual Awareness survey</w:t>
      </w:r>
      <w:r w:rsidR="00ED5F2E" w:rsidRPr="05A74CAE">
        <w:rPr>
          <w:rFonts w:ascii="Arial" w:hAnsi="Arial" w:cs="Arial"/>
          <w:sz w:val="24"/>
          <w:szCs w:val="24"/>
        </w:rPr>
        <w:t>. They</w:t>
      </w:r>
      <w:r w:rsidRPr="05A74CAE">
        <w:rPr>
          <w:rFonts w:ascii="Arial" w:hAnsi="Arial" w:cs="Arial"/>
          <w:sz w:val="24"/>
          <w:szCs w:val="24"/>
        </w:rPr>
        <w:t xml:space="preserve"> are not included in measures of success for specific equality objectives but are relevant across all objectives.</w:t>
      </w:r>
    </w:p>
    <w:p w14:paraId="54E8CFC0" w14:textId="77777777" w:rsidR="000139BB" w:rsidRPr="0022549A" w:rsidRDefault="000139BB" w:rsidP="0022549A">
      <w:pPr>
        <w:pStyle w:val="ListParagraph"/>
        <w:numPr>
          <w:ilvl w:val="0"/>
          <w:numId w:val="9"/>
        </w:numPr>
        <w:spacing w:after="120" w:line="264" w:lineRule="auto"/>
        <w:ind w:left="357" w:hanging="357"/>
        <w:rPr>
          <w:rFonts w:ascii="Arial" w:hAnsi="Arial" w:cs="Arial"/>
          <w:sz w:val="24"/>
          <w:szCs w:val="24"/>
        </w:rPr>
      </w:pPr>
      <w:r w:rsidRPr="0022549A">
        <w:rPr>
          <w:rFonts w:ascii="Arial" w:hAnsi="Arial" w:cs="Arial"/>
          <w:b/>
          <w:bCs/>
          <w:sz w:val="24"/>
          <w:szCs w:val="24"/>
        </w:rPr>
        <w:t>63%</w:t>
      </w:r>
      <w:r w:rsidRPr="0022549A">
        <w:rPr>
          <w:rFonts w:ascii="Arial" w:hAnsi="Arial" w:cs="Arial"/>
          <w:sz w:val="24"/>
          <w:szCs w:val="24"/>
        </w:rPr>
        <w:t xml:space="preserve"> of the public (n=1000) and 63% of those more likely to have poor care (n=326) agreed CQC does what they want as a regulator of health and social care. (8% of the public disagreed).</w:t>
      </w:r>
    </w:p>
    <w:p w14:paraId="0276D8F6" w14:textId="77777777" w:rsidR="000139BB" w:rsidRPr="0022549A" w:rsidRDefault="000139BB" w:rsidP="0022549A">
      <w:pPr>
        <w:pStyle w:val="ListParagraph"/>
        <w:numPr>
          <w:ilvl w:val="0"/>
          <w:numId w:val="9"/>
        </w:numPr>
        <w:spacing w:after="120" w:line="264" w:lineRule="auto"/>
        <w:ind w:left="357" w:hanging="357"/>
        <w:rPr>
          <w:rFonts w:ascii="Arial" w:hAnsi="Arial" w:cs="Arial"/>
          <w:sz w:val="24"/>
          <w:szCs w:val="24"/>
        </w:rPr>
      </w:pPr>
      <w:r w:rsidRPr="0022549A">
        <w:rPr>
          <w:rFonts w:ascii="Arial" w:hAnsi="Arial" w:cs="Arial"/>
          <w:b/>
          <w:bCs/>
          <w:sz w:val="24"/>
          <w:szCs w:val="24"/>
        </w:rPr>
        <w:t>71%</w:t>
      </w:r>
      <w:r w:rsidRPr="0022549A">
        <w:rPr>
          <w:rFonts w:ascii="Arial" w:hAnsi="Arial" w:cs="Arial"/>
          <w:sz w:val="24"/>
          <w:szCs w:val="24"/>
        </w:rPr>
        <w:t xml:space="preserve"> of the public (that were aware of CQC n=569) and 69% of those more likely to have poor care agreed CQC does what they want as a regulator of health and social care</w:t>
      </w:r>
    </w:p>
    <w:p w14:paraId="246E1189" w14:textId="57048319" w:rsidR="000139BB" w:rsidRPr="0022549A" w:rsidRDefault="000139BB" w:rsidP="0022549A">
      <w:pPr>
        <w:pStyle w:val="ListParagraph"/>
        <w:numPr>
          <w:ilvl w:val="0"/>
          <w:numId w:val="9"/>
        </w:numPr>
        <w:spacing w:after="120" w:line="264" w:lineRule="auto"/>
        <w:ind w:left="357" w:hanging="357"/>
        <w:rPr>
          <w:rFonts w:ascii="Arial" w:hAnsi="Arial" w:cs="Arial"/>
          <w:sz w:val="24"/>
          <w:szCs w:val="24"/>
        </w:rPr>
      </w:pPr>
      <w:r w:rsidRPr="0022549A">
        <w:rPr>
          <w:rFonts w:ascii="Arial" w:hAnsi="Arial" w:cs="Arial"/>
          <w:sz w:val="24"/>
          <w:szCs w:val="24"/>
        </w:rPr>
        <w:t>Those that have chosen a care home, carers and those aged 55+ were more likely to have a negative perception of CQC.</w:t>
      </w:r>
      <w:r w:rsidR="007D63E2">
        <w:rPr>
          <w:rFonts w:ascii="Arial" w:hAnsi="Arial" w:cs="Arial"/>
          <w:sz w:val="24"/>
          <w:szCs w:val="24"/>
        </w:rPr>
        <w:t xml:space="preserve"> </w:t>
      </w:r>
      <w:r w:rsidR="00A06561">
        <w:rPr>
          <w:rFonts w:ascii="Arial" w:hAnsi="Arial" w:cs="Arial"/>
          <w:sz w:val="24"/>
          <w:szCs w:val="24"/>
        </w:rPr>
        <w:t>We will do more work to understand the concerns of these groups.</w:t>
      </w:r>
    </w:p>
    <w:p w14:paraId="2DA38924" w14:textId="77777777" w:rsidR="000139BB" w:rsidRPr="006E21A3" w:rsidRDefault="000139BB" w:rsidP="0022549A">
      <w:pPr>
        <w:spacing w:line="264" w:lineRule="auto"/>
        <w:rPr>
          <w:rFonts w:ascii="Arial" w:hAnsi="Arial" w:cs="Arial"/>
          <w:sz w:val="24"/>
          <w:szCs w:val="24"/>
        </w:rPr>
      </w:pPr>
    </w:p>
    <w:p w14:paraId="24179EB7" w14:textId="0A95A8F9" w:rsidR="003F596D" w:rsidRPr="006E21A3" w:rsidRDefault="00941915" w:rsidP="003F596D">
      <w:pPr>
        <w:spacing w:line="420" w:lineRule="atLeast"/>
        <w:rPr>
          <w:rFonts w:ascii="Arial" w:hAnsi="Arial" w:cs="Arial"/>
          <w:b/>
          <w:bCs/>
          <w:color w:val="000000" w:themeColor="text1"/>
          <w:sz w:val="28"/>
          <w:szCs w:val="28"/>
          <w:u w:val="single"/>
        </w:rPr>
      </w:pPr>
      <w:r>
        <w:rPr>
          <w:rFonts w:ascii="Arial" w:hAnsi="Arial" w:cs="Arial"/>
          <w:b/>
          <w:bCs/>
          <w:color w:val="000000" w:themeColor="text1"/>
          <w:sz w:val="28"/>
          <w:szCs w:val="28"/>
          <w:u w:val="single"/>
        </w:rPr>
        <w:lastRenderedPageBreak/>
        <w:t>T</w:t>
      </w:r>
      <w:r w:rsidR="003F596D" w:rsidRPr="006E21A3">
        <w:rPr>
          <w:rFonts w:ascii="Arial" w:hAnsi="Arial" w:cs="Arial"/>
          <w:b/>
          <w:bCs/>
          <w:color w:val="000000" w:themeColor="text1"/>
          <w:sz w:val="28"/>
          <w:szCs w:val="28"/>
          <w:u w:val="single"/>
        </w:rPr>
        <w:t>able</w:t>
      </w:r>
      <w:r w:rsidR="00C055DD">
        <w:rPr>
          <w:rFonts w:ascii="Arial" w:hAnsi="Arial" w:cs="Arial"/>
          <w:b/>
          <w:bCs/>
          <w:color w:val="000000" w:themeColor="text1"/>
          <w:sz w:val="28"/>
          <w:szCs w:val="28"/>
          <w:u w:val="single"/>
        </w:rPr>
        <w:t xml:space="preserve"> 2: M</w:t>
      </w:r>
      <w:r w:rsidR="0095789B">
        <w:rPr>
          <w:rFonts w:ascii="Arial" w:hAnsi="Arial" w:cs="Arial"/>
          <w:b/>
          <w:bCs/>
          <w:color w:val="000000" w:themeColor="text1"/>
          <w:sz w:val="28"/>
          <w:szCs w:val="28"/>
          <w:u w:val="single"/>
        </w:rPr>
        <w:t>easures of success</w:t>
      </w:r>
    </w:p>
    <w:tbl>
      <w:tblPr>
        <w:tblStyle w:val="TableGrid"/>
        <w:tblW w:w="15451" w:type="dxa"/>
        <w:jc w:val="center"/>
        <w:tblLayout w:type="fixed"/>
        <w:tblLook w:val="04A0" w:firstRow="1" w:lastRow="0" w:firstColumn="1" w:lastColumn="0" w:noHBand="0" w:noVBand="1"/>
      </w:tblPr>
      <w:tblGrid>
        <w:gridCol w:w="2263"/>
        <w:gridCol w:w="1755"/>
        <w:gridCol w:w="2994"/>
        <w:gridCol w:w="7038"/>
        <w:gridCol w:w="1401"/>
      </w:tblGrid>
      <w:tr w:rsidR="00B24666" w:rsidRPr="006E21A3" w14:paraId="5DD5C6EA" w14:textId="77777777" w:rsidTr="05A74CAE">
        <w:trPr>
          <w:jc w:val="center"/>
        </w:trPr>
        <w:tc>
          <w:tcPr>
            <w:tcW w:w="2263" w:type="dxa"/>
          </w:tcPr>
          <w:p w14:paraId="39309B76" w14:textId="77777777" w:rsidR="003F596D" w:rsidRPr="006E21A3" w:rsidRDefault="003F596D" w:rsidP="008F312F">
            <w:pPr>
              <w:spacing w:line="264" w:lineRule="auto"/>
              <w:rPr>
                <w:rFonts w:ascii="Arial" w:hAnsi="Arial" w:cs="Arial"/>
                <w:b/>
                <w:bCs/>
                <w:color w:val="000000" w:themeColor="text1"/>
                <w:sz w:val="28"/>
                <w:szCs w:val="28"/>
              </w:rPr>
            </w:pPr>
            <w:r w:rsidRPr="006E21A3">
              <w:rPr>
                <w:rFonts w:ascii="Arial" w:hAnsi="Arial" w:cs="Arial"/>
                <w:b/>
                <w:bCs/>
                <w:color w:val="000000" w:themeColor="text1"/>
                <w:sz w:val="28"/>
                <w:szCs w:val="28"/>
              </w:rPr>
              <w:t>Equality Objective</w:t>
            </w:r>
          </w:p>
        </w:tc>
        <w:tc>
          <w:tcPr>
            <w:tcW w:w="1755" w:type="dxa"/>
          </w:tcPr>
          <w:p w14:paraId="18C8D490" w14:textId="5A82943D" w:rsidR="003F596D" w:rsidRPr="006E21A3" w:rsidRDefault="003F596D" w:rsidP="008F312F">
            <w:pPr>
              <w:spacing w:line="264" w:lineRule="auto"/>
              <w:rPr>
                <w:rFonts w:ascii="Arial" w:hAnsi="Arial" w:cs="Arial"/>
                <w:b/>
                <w:bCs/>
                <w:color w:val="000000" w:themeColor="text1"/>
                <w:sz w:val="28"/>
                <w:szCs w:val="28"/>
              </w:rPr>
            </w:pPr>
            <w:r w:rsidRPr="62B52220">
              <w:rPr>
                <w:rFonts w:ascii="Arial" w:hAnsi="Arial" w:cs="Arial"/>
                <w:b/>
                <w:bCs/>
                <w:color w:val="000000" w:themeColor="text1"/>
                <w:sz w:val="28"/>
                <w:szCs w:val="28"/>
              </w:rPr>
              <w:t>Reference</w:t>
            </w:r>
          </w:p>
        </w:tc>
        <w:tc>
          <w:tcPr>
            <w:tcW w:w="2994" w:type="dxa"/>
          </w:tcPr>
          <w:p w14:paraId="6B8F51DB" w14:textId="77777777" w:rsidR="003F596D" w:rsidRPr="006E21A3" w:rsidRDefault="003F596D" w:rsidP="008F312F">
            <w:pPr>
              <w:spacing w:line="264" w:lineRule="auto"/>
              <w:rPr>
                <w:rFonts w:ascii="Arial" w:hAnsi="Arial" w:cs="Arial"/>
                <w:b/>
                <w:bCs/>
                <w:color w:val="000000" w:themeColor="text1"/>
                <w:sz w:val="28"/>
                <w:szCs w:val="28"/>
              </w:rPr>
            </w:pPr>
            <w:r w:rsidRPr="006E21A3">
              <w:rPr>
                <w:rFonts w:ascii="Arial" w:hAnsi="Arial" w:cs="Arial"/>
                <w:b/>
                <w:bCs/>
                <w:color w:val="000000" w:themeColor="text1"/>
                <w:sz w:val="28"/>
                <w:szCs w:val="28"/>
              </w:rPr>
              <w:t>Measures</w:t>
            </w:r>
          </w:p>
        </w:tc>
        <w:tc>
          <w:tcPr>
            <w:tcW w:w="7038" w:type="dxa"/>
          </w:tcPr>
          <w:p w14:paraId="74442B94" w14:textId="77777777" w:rsidR="003F596D" w:rsidRPr="00B24666" w:rsidRDefault="003F596D" w:rsidP="008F312F">
            <w:pPr>
              <w:spacing w:line="264" w:lineRule="auto"/>
              <w:rPr>
                <w:rFonts w:ascii="Arial" w:hAnsi="Arial" w:cs="Arial"/>
                <w:b/>
                <w:bCs/>
                <w:color w:val="000000" w:themeColor="text1"/>
              </w:rPr>
            </w:pPr>
            <w:r w:rsidRPr="00B24666">
              <w:rPr>
                <w:rFonts w:ascii="Arial" w:hAnsi="Arial" w:cs="Arial"/>
                <w:b/>
                <w:bCs/>
                <w:color w:val="000000" w:themeColor="text1"/>
              </w:rPr>
              <w:t>Performance data</w:t>
            </w:r>
          </w:p>
        </w:tc>
        <w:tc>
          <w:tcPr>
            <w:tcW w:w="1401" w:type="dxa"/>
          </w:tcPr>
          <w:p w14:paraId="7648B1B1" w14:textId="77777777" w:rsidR="003F596D" w:rsidRPr="006E21A3" w:rsidRDefault="003F596D" w:rsidP="008F312F">
            <w:pPr>
              <w:spacing w:line="264" w:lineRule="auto"/>
              <w:rPr>
                <w:rFonts w:ascii="Arial" w:hAnsi="Arial" w:cs="Arial"/>
                <w:b/>
                <w:bCs/>
                <w:color w:val="000000" w:themeColor="text1"/>
                <w:sz w:val="28"/>
                <w:szCs w:val="28"/>
              </w:rPr>
            </w:pPr>
            <w:r>
              <w:rPr>
                <w:rFonts w:ascii="Arial" w:hAnsi="Arial" w:cs="Arial"/>
                <w:b/>
                <w:bCs/>
                <w:color w:val="000000" w:themeColor="text1"/>
                <w:sz w:val="28"/>
                <w:szCs w:val="28"/>
              </w:rPr>
              <w:t>RAG rating</w:t>
            </w:r>
          </w:p>
        </w:tc>
      </w:tr>
      <w:tr w:rsidR="00B24666" w:rsidRPr="006E21A3" w14:paraId="1CFB3B0A" w14:textId="77777777" w:rsidTr="05A74CAE">
        <w:trPr>
          <w:trHeight w:val="1249"/>
          <w:jc w:val="center"/>
        </w:trPr>
        <w:tc>
          <w:tcPr>
            <w:tcW w:w="2263" w:type="dxa"/>
            <w:vMerge w:val="restart"/>
          </w:tcPr>
          <w:p w14:paraId="6D3CE356" w14:textId="77777777" w:rsidR="003F596D" w:rsidRPr="006E21A3" w:rsidRDefault="003F596D" w:rsidP="00A01D95">
            <w:pPr>
              <w:pStyle w:val="ListParagraph"/>
              <w:numPr>
                <w:ilvl w:val="0"/>
                <w:numId w:val="15"/>
              </w:numPr>
              <w:spacing w:line="264" w:lineRule="auto"/>
              <w:ind w:left="470" w:hanging="357"/>
              <w:rPr>
                <w:rFonts w:ascii="Arial" w:hAnsi="Arial" w:cs="Arial"/>
                <w:b/>
                <w:bCs/>
                <w:color w:val="000000" w:themeColor="text1"/>
                <w:sz w:val="24"/>
                <w:szCs w:val="24"/>
                <w:u w:val="single"/>
              </w:rPr>
            </w:pPr>
            <w:r w:rsidRPr="006E21A3">
              <w:rPr>
                <w:rFonts w:ascii="Arial" w:hAnsi="Arial" w:cs="Arial"/>
                <w:b/>
                <w:bCs/>
                <w:color w:val="000000" w:themeColor="text1"/>
                <w:sz w:val="28"/>
                <w:szCs w:val="28"/>
              </w:rPr>
              <w:t>Amplifying the voices of people more likely to have a poorer experience of care or have difficulty accessing care</w:t>
            </w:r>
          </w:p>
        </w:tc>
        <w:tc>
          <w:tcPr>
            <w:tcW w:w="1755" w:type="dxa"/>
          </w:tcPr>
          <w:p w14:paraId="53EA3C66" w14:textId="77777777" w:rsidR="003F596D" w:rsidRPr="006E21A3" w:rsidRDefault="003F596D" w:rsidP="008F312F">
            <w:pPr>
              <w:spacing w:line="264" w:lineRule="auto"/>
              <w:rPr>
                <w:rFonts w:ascii="Arial" w:hAnsi="Arial" w:cs="Arial"/>
                <w:color w:val="000000" w:themeColor="text1"/>
                <w:sz w:val="24"/>
                <w:szCs w:val="24"/>
              </w:rPr>
            </w:pPr>
            <w:r w:rsidRPr="006E21A3">
              <w:rPr>
                <w:rFonts w:ascii="Arial" w:hAnsi="Arial" w:cs="Arial"/>
                <w:color w:val="000000" w:themeColor="text1"/>
                <w:sz w:val="24"/>
                <w:szCs w:val="24"/>
              </w:rPr>
              <w:t>1.1</w:t>
            </w:r>
          </w:p>
        </w:tc>
        <w:tc>
          <w:tcPr>
            <w:tcW w:w="2994" w:type="dxa"/>
          </w:tcPr>
          <w:p w14:paraId="5C1BED18" w14:textId="77777777" w:rsidR="003F596D" w:rsidRPr="006E21A3" w:rsidRDefault="003F596D" w:rsidP="008F312F">
            <w:pPr>
              <w:spacing w:line="264" w:lineRule="auto"/>
              <w:rPr>
                <w:rFonts w:ascii="Arial" w:hAnsi="Arial" w:cs="Arial"/>
                <w:color w:val="000000" w:themeColor="text1"/>
                <w:sz w:val="24"/>
                <w:szCs w:val="24"/>
              </w:rPr>
            </w:pPr>
            <w:r w:rsidRPr="006E21A3">
              <w:rPr>
                <w:rFonts w:ascii="Arial" w:hAnsi="Arial" w:cs="Arial"/>
                <w:color w:val="000000" w:themeColor="text1"/>
                <w:sz w:val="24"/>
                <w:szCs w:val="24"/>
              </w:rPr>
              <w:t>Feedback from people (including those more likely to have poor care) that we use in our regulation</w:t>
            </w:r>
          </w:p>
        </w:tc>
        <w:tc>
          <w:tcPr>
            <w:tcW w:w="7038" w:type="dxa"/>
          </w:tcPr>
          <w:p w14:paraId="384C49CD" w14:textId="6F938735" w:rsidR="003F596D" w:rsidRPr="00B24666" w:rsidRDefault="003F596D" w:rsidP="0069768D">
            <w:pPr>
              <w:spacing w:after="240" w:line="276" w:lineRule="auto"/>
              <w:rPr>
                <w:rFonts w:ascii="Arial" w:hAnsi="Arial" w:cs="Arial"/>
                <w:color w:val="000000" w:themeColor="text1"/>
              </w:rPr>
            </w:pPr>
            <w:r w:rsidRPr="05A74CAE">
              <w:rPr>
                <w:rFonts w:ascii="Arial" w:eastAsia="ArialPeople’s experiences inclu" w:hAnsi="Arial" w:cs="Arial"/>
                <w:b/>
                <w:bCs/>
              </w:rPr>
              <w:t>15%</w:t>
            </w:r>
            <w:r w:rsidRPr="00B24666">
              <w:rPr>
                <w:rFonts w:ascii="Arial" w:eastAsia="ArialPeople’s experiences inclu" w:hAnsi="Arial" w:cs="Arial"/>
              </w:rPr>
              <w:t xml:space="preserve"> of all inspections were triggered by information of concern, including whistle blowing, complaints and concerns shared by people, care staff and other stakeholders. Of those inspections that have a recorded risk trigger (not regulatory history), </w:t>
            </w:r>
            <w:r w:rsidRPr="00B24666">
              <w:rPr>
                <w:rFonts w:ascii="Arial" w:eastAsia="ArialPeople’s experiences inclu" w:hAnsi="Arial" w:cs="Arial"/>
                <w:b/>
                <w:bCs/>
              </w:rPr>
              <w:t>49%</w:t>
            </w:r>
            <w:r w:rsidRPr="00B24666">
              <w:rPr>
                <w:rFonts w:ascii="Arial" w:eastAsia="ArialPeople’s experiences inclu" w:hAnsi="Arial" w:cs="Arial"/>
              </w:rPr>
              <w:t xml:space="preserve"> are triggered by information of concern</w:t>
            </w:r>
            <w:r w:rsidR="009A4753">
              <w:rPr>
                <w:rStyle w:val="EndnoteReference"/>
                <w:rFonts w:ascii="Arial" w:eastAsia="ArialPeople’s experiences inclu" w:hAnsi="Arial" w:cs="Arial"/>
              </w:rPr>
              <w:endnoteReference w:id="2"/>
            </w:r>
            <w:r w:rsidR="4D73ED42" w:rsidRPr="00B24666">
              <w:rPr>
                <w:rFonts w:ascii="Arial" w:eastAsia="ArialPeople’s experiences inclu" w:hAnsi="Arial" w:cs="Arial"/>
              </w:rPr>
              <w:t xml:space="preserve">. </w:t>
            </w:r>
            <w:r w:rsidRPr="00B24666">
              <w:rPr>
                <w:rStyle w:val="normaltextrun"/>
                <w:rFonts w:ascii="Arial" w:hAnsi="Arial" w:cs="Arial"/>
                <w:color w:val="000000"/>
                <w:shd w:val="clear" w:color="auto" w:fill="FFFFFF"/>
              </w:rPr>
              <w:t xml:space="preserve">Note: While only a relatively small proportion of our inspections were triggered by information shared by people, this is because we have focused a lot of our activity on thematic inspections </w:t>
            </w:r>
            <w:r w:rsidRPr="00B24666">
              <w:rPr>
                <w:rFonts w:ascii="Arial" w:hAnsi="Arial" w:cs="Arial"/>
              </w:rPr>
              <w:t>and our internal processes do not systematically record this</w:t>
            </w:r>
            <w:r w:rsidRPr="00B24666">
              <w:rPr>
                <w:rStyle w:val="normaltextrun"/>
                <w:rFonts w:ascii="Arial" w:hAnsi="Arial" w:cs="Arial"/>
                <w:color w:val="000000"/>
                <w:shd w:val="clear" w:color="auto" w:fill="FFFFFF"/>
              </w:rPr>
              <w:t xml:space="preserve">. </w:t>
            </w:r>
            <w:r w:rsidRPr="00B24666">
              <w:rPr>
                <w:rFonts w:ascii="Arial" w:hAnsi="Arial" w:cs="Arial"/>
                <w:color w:val="000000" w:themeColor="text1"/>
              </w:rPr>
              <w:t>Not currently measuring whether this information is from people more likely to have poor care.</w:t>
            </w:r>
            <w:r w:rsidR="3CC09695" w:rsidRPr="00B24666">
              <w:rPr>
                <w:rFonts w:ascii="Arial" w:hAnsi="Arial" w:cs="Arial"/>
                <w:color w:val="000000" w:themeColor="text1"/>
              </w:rPr>
              <w:t xml:space="preserve"> </w:t>
            </w:r>
          </w:p>
          <w:p w14:paraId="61B80541" w14:textId="2E3A8F9E" w:rsidR="003F596D" w:rsidRPr="00B24666" w:rsidRDefault="003F596D" w:rsidP="008F312F">
            <w:pPr>
              <w:spacing w:after="120" w:line="264" w:lineRule="auto"/>
              <w:rPr>
                <w:rFonts w:ascii="Arial" w:hAnsi="Arial" w:cs="Arial"/>
                <w:color w:val="000000" w:themeColor="text1"/>
              </w:rPr>
            </w:pPr>
            <w:r w:rsidRPr="00B24666">
              <w:rPr>
                <w:rFonts w:ascii="Arial" w:hAnsi="Arial" w:cs="Arial"/>
                <w:b/>
                <w:bCs/>
                <w:color w:val="000000" w:themeColor="text1"/>
              </w:rPr>
              <w:t>48-81%</w:t>
            </w:r>
            <w:r w:rsidRPr="00B24666">
              <w:rPr>
                <w:rFonts w:ascii="Arial" w:hAnsi="Arial" w:cs="Arial"/>
                <w:color w:val="000000" w:themeColor="text1"/>
              </w:rPr>
              <w:t xml:space="preserve"> of people involved in different types of engagement activity to develop our approach were people more likely to have poor care</w:t>
            </w:r>
            <w:r w:rsidR="007E4C29">
              <w:rPr>
                <w:rStyle w:val="EndnoteReference"/>
                <w:rFonts w:ascii="Arial" w:hAnsi="Arial" w:cs="Arial"/>
                <w:color w:val="000000" w:themeColor="text1"/>
              </w:rPr>
              <w:endnoteReference w:id="3"/>
            </w:r>
            <w:r w:rsidRPr="00B24666">
              <w:rPr>
                <w:rFonts w:ascii="Arial" w:hAnsi="Arial" w:cs="Arial"/>
                <w:color w:val="000000" w:themeColor="text1"/>
              </w:rPr>
              <w:t>.</w:t>
            </w:r>
          </w:p>
        </w:tc>
        <w:tc>
          <w:tcPr>
            <w:tcW w:w="1401" w:type="dxa"/>
            <w:shd w:val="clear" w:color="auto" w:fill="FFC000" w:themeFill="accent4"/>
          </w:tcPr>
          <w:p w14:paraId="6BAE68E6" w14:textId="77777777" w:rsidR="003F596D" w:rsidRPr="00482968" w:rsidRDefault="003F596D" w:rsidP="008F312F">
            <w:pPr>
              <w:spacing w:line="264" w:lineRule="auto"/>
              <w:rPr>
                <w:rFonts w:ascii="Arial" w:hAnsi="Arial" w:cs="Arial"/>
                <w:sz w:val="24"/>
                <w:szCs w:val="24"/>
              </w:rPr>
            </w:pPr>
            <w:r>
              <w:rPr>
                <w:rFonts w:ascii="Arial" w:hAnsi="Arial" w:cs="Arial"/>
                <w:sz w:val="24"/>
                <w:szCs w:val="24"/>
              </w:rPr>
              <w:t>Amber</w:t>
            </w:r>
          </w:p>
        </w:tc>
      </w:tr>
      <w:tr w:rsidR="00B24666" w:rsidRPr="006E21A3" w14:paraId="4A9F66E7" w14:textId="77777777" w:rsidTr="05A74CAE">
        <w:trPr>
          <w:jc w:val="center"/>
        </w:trPr>
        <w:tc>
          <w:tcPr>
            <w:tcW w:w="2263" w:type="dxa"/>
            <w:vMerge/>
          </w:tcPr>
          <w:p w14:paraId="6D14AF4B" w14:textId="77777777" w:rsidR="003F596D" w:rsidRPr="006E21A3" w:rsidRDefault="003F596D" w:rsidP="008F312F">
            <w:pPr>
              <w:spacing w:line="264" w:lineRule="auto"/>
              <w:rPr>
                <w:rFonts w:ascii="Arial" w:hAnsi="Arial" w:cs="Arial"/>
                <w:b/>
                <w:bCs/>
                <w:color w:val="000000" w:themeColor="text1"/>
                <w:sz w:val="24"/>
                <w:szCs w:val="24"/>
                <w:u w:val="single"/>
              </w:rPr>
            </w:pPr>
          </w:p>
        </w:tc>
        <w:tc>
          <w:tcPr>
            <w:tcW w:w="1755" w:type="dxa"/>
          </w:tcPr>
          <w:p w14:paraId="4D95C715" w14:textId="77777777" w:rsidR="003F596D" w:rsidRPr="006E21A3" w:rsidRDefault="003F596D" w:rsidP="008F312F">
            <w:pPr>
              <w:spacing w:line="264" w:lineRule="auto"/>
              <w:rPr>
                <w:rFonts w:ascii="Arial" w:hAnsi="Arial" w:cs="Arial"/>
                <w:color w:val="000000" w:themeColor="text1"/>
                <w:sz w:val="24"/>
                <w:szCs w:val="24"/>
              </w:rPr>
            </w:pPr>
            <w:r w:rsidRPr="006E21A3">
              <w:rPr>
                <w:rFonts w:ascii="Arial" w:hAnsi="Arial" w:cs="Arial"/>
                <w:color w:val="000000" w:themeColor="text1"/>
                <w:sz w:val="24"/>
                <w:szCs w:val="24"/>
              </w:rPr>
              <w:t>1.2</w:t>
            </w:r>
          </w:p>
        </w:tc>
        <w:tc>
          <w:tcPr>
            <w:tcW w:w="2994" w:type="dxa"/>
          </w:tcPr>
          <w:p w14:paraId="06034DC5" w14:textId="77777777" w:rsidR="003F596D" w:rsidRPr="006E21A3" w:rsidRDefault="003F596D" w:rsidP="008F312F">
            <w:pPr>
              <w:spacing w:line="264" w:lineRule="auto"/>
              <w:rPr>
                <w:rFonts w:ascii="Arial" w:hAnsi="Arial" w:cs="Arial"/>
                <w:color w:val="000000" w:themeColor="text1"/>
                <w:sz w:val="24"/>
                <w:szCs w:val="24"/>
              </w:rPr>
            </w:pPr>
            <w:r w:rsidRPr="006E21A3">
              <w:rPr>
                <w:rFonts w:ascii="Arial" w:hAnsi="Arial" w:cs="Arial"/>
                <w:color w:val="000000" w:themeColor="text1"/>
                <w:sz w:val="24"/>
                <w:szCs w:val="24"/>
              </w:rPr>
              <w:t xml:space="preserve">People, including those more likely to have poor care, say it is easy to share information with us. </w:t>
            </w:r>
          </w:p>
        </w:tc>
        <w:tc>
          <w:tcPr>
            <w:tcW w:w="7038" w:type="dxa"/>
          </w:tcPr>
          <w:p w14:paraId="5806D048" w14:textId="0147A413" w:rsidR="003F596D" w:rsidRPr="00B24666" w:rsidRDefault="003F596D" w:rsidP="008F312F">
            <w:pPr>
              <w:spacing w:after="120" w:line="264" w:lineRule="auto"/>
              <w:rPr>
                <w:rFonts w:ascii="Arial" w:hAnsi="Arial" w:cs="Arial"/>
                <w:color w:val="000000" w:themeColor="text1"/>
              </w:rPr>
            </w:pPr>
            <w:r w:rsidRPr="00B24666">
              <w:rPr>
                <w:rStyle w:val="normaltextrun"/>
                <w:rFonts w:ascii="Arial" w:hAnsi="Arial" w:cs="Arial"/>
                <w:b/>
                <w:bCs/>
                <w:color w:val="000000"/>
                <w:shd w:val="clear" w:color="auto" w:fill="FFFFFF"/>
              </w:rPr>
              <w:t>84%</w:t>
            </w:r>
            <w:r w:rsidRPr="00B24666">
              <w:rPr>
                <w:rStyle w:val="normaltextrun"/>
                <w:rFonts w:ascii="Arial" w:hAnsi="Arial" w:cs="Arial"/>
                <w:color w:val="000000"/>
                <w:shd w:val="clear" w:color="auto" w:fill="FFFFFF"/>
              </w:rPr>
              <w:t xml:space="preserve"> of the public who have shared information with CQC say it was easy to do this (n=67). For those more likely to have poor care (n=21), 70% agreed it was an easy process to share compared to 93% of those less likely to have poor care (n=43)</w:t>
            </w:r>
            <w:r w:rsidR="00A2459B">
              <w:rPr>
                <w:rStyle w:val="EndnoteReference"/>
                <w:rFonts w:ascii="Arial" w:hAnsi="Arial" w:cs="Arial"/>
                <w:color w:val="000000"/>
                <w:shd w:val="clear" w:color="auto" w:fill="FFFFFF"/>
              </w:rPr>
              <w:endnoteReference w:id="4"/>
            </w:r>
            <w:r w:rsidRPr="00B24666">
              <w:rPr>
                <w:rStyle w:val="normaltextrun"/>
                <w:rFonts w:ascii="Arial" w:hAnsi="Arial" w:cs="Arial"/>
                <w:color w:val="000000"/>
                <w:shd w:val="clear" w:color="auto" w:fill="FFFFFF"/>
              </w:rPr>
              <w:t>.</w:t>
            </w:r>
            <w:r w:rsidRPr="00B24666">
              <w:rPr>
                <w:rStyle w:val="eop"/>
                <w:rFonts w:ascii="Arial" w:hAnsi="Arial" w:cs="Arial"/>
                <w:color w:val="000000"/>
                <w:shd w:val="clear" w:color="auto" w:fill="FFFFFF"/>
              </w:rPr>
              <w:t> </w:t>
            </w:r>
          </w:p>
        </w:tc>
        <w:tc>
          <w:tcPr>
            <w:tcW w:w="1401" w:type="dxa"/>
            <w:shd w:val="clear" w:color="auto" w:fill="FFC000" w:themeFill="accent4"/>
          </w:tcPr>
          <w:p w14:paraId="187138DE" w14:textId="77777777" w:rsidR="003F596D" w:rsidRPr="006E21A3" w:rsidRDefault="003F596D" w:rsidP="008F312F">
            <w:pPr>
              <w:spacing w:after="120" w:line="264" w:lineRule="auto"/>
              <w:rPr>
                <w:rFonts w:ascii="Arial" w:hAnsi="Arial" w:cs="Arial"/>
                <w:color w:val="000000" w:themeColor="text1"/>
                <w:sz w:val="24"/>
                <w:szCs w:val="24"/>
              </w:rPr>
            </w:pPr>
            <w:r>
              <w:rPr>
                <w:rFonts w:ascii="Arial" w:hAnsi="Arial" w:cs="Arial"/>
                <w:color w:val="000000" w:themeColor="text1"/>
                <w:sz w:val="24"/>
                <w:szCs w:val="24"/>
              </w:rPr>
              <w:t>Amber</w:t>
            </w:r>
          </w:p>
        </w:tc>
      </w:tr>
      <w:tr w:rsidR="00B24666" w:rsidRPr="006E21A3" w14:paraId="2FC00A54" w14:textId="77777777" w:rsidTr="05A74CAE">
        <w:trPr>
          <w:jc w:val="center"/>
        </w:trPr>
        <w:tc>
          <w:tcPr>
            <w:tcW w:w="2263" w:type="dxa"/>
            <w:vMerge/>
          </w:tcPr>
          <w:p w14:paraId="603B85FB" w14:textId="77777777" w:rsidR="003F596D" w:rsidRPr="006E21A3" w:rsidRDefault="003F596D" w:rsidP="008F312F">
            <w:pPr>
              <w:spacing w:line="264" w:lineRule="auto"/>
              <w:rPr>
                <w:rFonts w:ascii="Arial" w:hAnsi="Arial" w:cs="Arial"/>
                <w:b/>
                <w:bCs/>
                <w:color w:val="000000" w:themeColor="text1"/>
                <w:sz w:val="24"/>
                <w:szCs w:val="24"/>
                <w:u w:val="single"/>
              </w:rPr>
            </w:pPr>
          </w:p>
        </w:tc>
        <w:tc>
          <w:tcPr>
            <w:tcW w:w="1755" w:type="dxa"/>
          </w:tcPr>
          <w:p w14:paraId="668FD4C2" w14:textId="77777777" w:rsidR="003F596D" w:rsidRPr="006E21A3" w:rsidRDefault="003F596D" w:rsidP="008F312F">
            <w:pPr>
              <w:spacing w:line="264" w:lineRule="auto"/>
              <w:rPr>
                <w:rFonts w:ascii="Arial" w:hAnsi="Arial" w:cs="Arial"/>
                <w:color w:val="000000" w:themeColor="text1"/>
                <w:sz w:val="24"/>
                <w:szCs w:val="24"/>
              </w:rPr>
            </w:pPr>
            <w:r w:rsidRPr="006E21A3">
              <w:rPr>
                <w:rFonts w:ascii="Arial" w:hAnsi="Arial" w:cs="Arial"/>
                <w:color w:val="000000" w:themeColor="text1"/>
                <w:sz w:val="24"/>
                <w:szCs w:val="24"/>
              </w:rPr>
              <w:t>1.3</w:t>
            </w:r>
          </w:p>
        </w:tc>
        <w:tc>
          <w:tcPr>
            <w:tcW w:w="2994" w:type="dxa"/>
          </w:tcPr>
          <w:p w14:paraId="36E209DE" w14:textId="77777777" w:rsidR="003F596D" w:rsidRPr="006E21A3" w:rsidRDefault="003F596D" w:rsidP="008F312F">
            <w:pPr>
              <w:spacing w:line="264" w:lineRule="auto"/>
              <w:rPr>
                <w:rFonts w:ascii="Arial" w:hAnsi="Arial" w:cs="Arial"/>
                <w:color w:val="000000" w:themeColor="text1"/>
                <w:sz w:val="24"/>
                <w:szCs w:val="24"/>
              </w:rPr>
            </w:pPr>
            <w:r w:rsidRPr="006E21A3">
              <w:rPr>
                <w:rFonts w:ascii="Arial" w:hAnsi="Arial" w:cs="Arial"/>
                <w:color w:val="000000" w:themeColor="text1"/>
                <w:sz w:val="24"/>
                <w:szCs w:val="24"/>
              </w:rPr>
              <w:t>Assessment and review outputs include the views of people – including those more likely to have poor care</w:t>
            </w:r>
          </w:p>
        </w:tc>
        <w:tc>
          <w:tcPr>
            <w:tcW w:w="7038" w:type="dxa"/>
          </w:tcPr>
          <w:p w14:paraId="18A15900" w14:textId="3B556651" w:rsidR="003F596D" w:rsidRPr="003719EA" w:rsidRDefault="003F596D" w:rsidP="008F312F">
            <w:pPr>
              <w:spacing w:line="264" w:lineRule="auto"/>
              <w:rPr>
                <w:rFonts w:ascii="Arial" w:hAnsi="Arial" w:cs="Arial"/>
                <w:color w:val="000000" w:themeColor="text1"/>
              </w:rPr>
            </w:pPr>
            <w:r w:rsidRPr="003719EA">
              <w:rPr>
                <w:rFonts w:ascii="Arial" w:hAnsi="Arial" w:cs="Arial"/>
                <w:color w:val="000000" w:themeColor="text1"/>
              </w:rPr>
              <w:t>Not currently measured – however of</w:t>
            </w:r>
            <w:r w:rsidRPr="003719EA">
              <w:rPr>
                <w:rStyle w:val="normaltextrun"/>
                <w:rFonts w:ascii="Arial" w:hAnsi="Arial" w:cs="Arial"/>
                <w:color w:val="000000"/>
                <w:shd w:val="clear" w:color="auto" w:fill="FFFFFF"/>
              </w:rPr>
              <w:t xml:space="preserve"> those who have used CQC information to understand standards of care they expect to receive, </w:t>
            </w:r>
            <w:r w:rsidRPr="003719EA">
              <w:rPr>
                <w:rStyle w:val="normaltextrun"/>
                <w:rFonts w:ascii="Arial" w:hAnsi="Arial" w:cs="Arial"/>
                <w:b/>
                <w:bCs/>
                <w:color w:val="000000"/>
                <w:shd w:val="clear" w:color="auto" w:fill="FFFFFF"/>
              </w:rPr>
              <w:t>91%</w:t>
            </w:r>
            <w:r w:rsidRPr="003719EA">
              <w:rPr>
                <w:rStyle w:val="normaltextrun"/>
                <w:rFonts w:ascii="Arial" w:hAnsi="Arial" w:cs="Arial"/>
                <w:color w:val="000000"/>
                <w:shd w:val="clear" w:color="auto" w:fill="FFFFFF"/>
              </w:rPr>
              <w:t xml:space="preserve"> of those more likely to have poor care agreed (n=33) that CQC's information about the standards of care they can expect </w:t>
            </w:r>
            <w:r w:rsidRPr="003719EA">
              <w:rPr>
                <w:rStyle w:val="findhit"/>
                <w:rFonts w:ascii="Arial" w:hAnsi="Arial" w:cs="Arial"/>
                <w:color w:val="000000"/>
              </w:rPr>
              <w:t>focus</w:t>
            </w:r>
            <w:r w:rsidRPr="003719EA">
              <w:rPr>
                <w:rStyle w:val="normaltextrun"/>
                <w:rFonts w:ascii="Arial" w:hAnsi="Arial" w:cs="Arial"/>
                <w:color w:val="000000"/>
                <w:shd w:val="clear" w:color="auto" w:fill="FFFFFF"/>
              </w:rPr>
              <w:t xml:space="preserve">es on what matters to them and their loved ones. This is higher than the </w:t>
            </w:r>
            <w:r w:rsidRPr="003719EA">
              <w:rPr>
                <w:rStyle w:val="normaltextrun"/>
                <w:rFonts w:ascii="Arial" w:hAnsi="Arial" w:cs="Arial"/>
                <w:b/>
                <w:bCs/>
                <w:color w:val="000000"/>
                <w:shd w:val="clear" w:color="auto" w:fill="FFFFFF"/>
              </w:rPr>
              <w:t>85%</w:t>
            </w:r>
            <w:r w:rsidRPr="003719EA">
              <w:rPr>
                <w:rStyle w:val="normaltextrun"/>
                <w:rFonts w:ascii="Arial" w:hAnsi="Arial" w:cs="Arial"/>
                <w:color w:val="000000"/>
                <w:shd w:val="clear" w:color="auto" w:fill="FFFFFF"/>
              </w:rPr>
              <w:t xml:space="preserve"> of those less likely to have poor care (n=62)</w:t>
            </w:r>
            <w:r w:rsidR="004D543A" w:rsidRPr="003719EA">
              <w:rPr>
                <w:rStyle w:val="normaltextrun"/>
                <w:rFonts w:ascii="Arial" w:hAnsi="Arial" w:cs="Arial"/>
                <w:color w:val="000000"/>
                <w:shd w:val="clear" w:color="auto" w:fill="FFFFFF"/>
              </w:rPr>
              <w:t xml:space="preserve"> though </w:t>
            </w:r>
            <w:r w:rsidR="003719EA" w:rsidRPr="003719EA">
              <w:rPr>
                <w:rStyle w:val="normaltextrun"/>
                <w:rFonts w:ascii="Arial" w:hAnsi="Arial" w:cs="Arial"/>
                <w:color w:val="000000"/>
                <w:shd w:val="clear" w:color="auto" w:fill="FFFFFF"/>
              </w:rPr>
              <w:t>based on small numbers</w:t>
            </w:r>
            <w:r w:rsidR="00821E83">
              <w:rPr>
                <w:rStyle w:val="EndnoteReference"/>
                <w:rFonts w:ascii="Arial" w:hAnsi="Arial" w:cs="Arial"/>
                <w:color w:val="000000"/>
                <w:shd w:val="clear" w:color="auto" w:fill="FFFFFF"/>
              </w:rPr>
              <w:endnoteReference w:id="5"/>
            </w:r>
            <w:r w:rsidRPr="003719EA">
              <w:rPr>
                <w:rStyle w:val="normaltextrun"/>
                <w:rFonts w:ascii="Arial" w:hAnsi="Arial" w:cs="Arial"/>
                <w:color w:val="000000"/>
                <w:shd w:val="clear" w:color="auto" w:fill="FFFFFF"/>
              </w:rPr>
              <w:t>.</w:t>
            </w:r>
          </w:p>
        </w:tc>
        <w:tc>
          <w:tcPr>
            <w:tcW w:w="1401" w:type="dxa"/>
            <w:shd w:val="clear" w:color="auto" w:fill="E7E6E6" w:themeFill="background2"/>
          </w:tcPr>
          <w:p w14:paraId="00E01631" w14:textId="77777777" w:rsidR="003F596D" w:rsidRPr="006E21A3" w:rsidRDefault="003F596D" w:rsidP="008F312F">
            <w:pPr>
              <w:spacing w:line="264" w:lineRule="auto"/>
              <w:rPr>
                <w:rFonts w:ascii="Arial" w:hAnsi="Arial" w:cs="Arial"/>
                <w:color w:val="000000" w:themeColor="text1"/>
                <w:sz w:val="24"/>
                <w:szCs w:val="24"/>
              </w:rPr>
            </w:pPr>
            <w:r>
              <w:rPr>
                <w:rFonts w:ascii="Arial" w:hAnsi="Arial" w:cs="Arial"/>
                <w:color w:val="000000" w:themeColor="text1"/>
                <w:sz w:val="24"/>
                <w:szCs w:val="24"/>
              </w:rPr>
              <w:t>Too early</w:t>
            </w:r>
          </w:p>
        </w:tc>
      </w:tr>
      <w:tr w:rsidR="00B24666" w:rsidRPr="006E21A3" w14:paraId="2AD0078D" w14:textId="77777777" w:rsidTr="05A74CAE">
        <w:trPr>
          <w:jc w:val="center"/>
        </w:trPr>
        <w:tc>
          <w:tcPr>
            <w:tcW w:w="2263" w:type="dxa"/>
            <w:vMerge/>
          </w:tcPr>
          <w:p w14:paraId="7558F8A7" w14:textId="77777777" w:rsidR="003F596D" w:rsidRPr="006E21A3" w:rsidRDefault="003F596D" w:rsidP="008F312F">
            <w:pPr>
              <w:spacing w:line="264" w:lineRule="auto"/>
              <w:rPr>
                <w:rFonts w:ascii="Arial" w:hAnsi="Arial" w:cs="Arial"/>
                <w:b/>
                <w:bCs/>
                <w:color w:val="000000" w:themeColor="text1"/>
                <w:sz w:val="24"/>
                <w:szCs w:val="24"/>
                <w:u w:val="single"/>
              </w:rPr>
            </w:pPr>
          </w:p>
        </w:tc>
        <w:tc>
          <w:tcPr>
            <w:tcW w:w="1755" w:type="dxa"/>
          </w:tcPr>
          <w:p w14:paraId="71481697" w14:textId="77777777" w:rsidR="003F596D" w:rsidRPr="006E21A3" w:rsidRDefault="003F596D" w:rsidP="008F312F">
            <w:pPr>
              <w:spacing w:line="264" w:lineRule="auto"/>
              <w:rPr>
                <w:rFonts w:ascii="Arial" w:hAnsi="Arial" w:cs="Arial"/>
                <w:color w:val="000000" w:themeColor="text1"/>
                <w:sz w:val="24"/>
                <w:szCs w:val="24"/>
              </w:rPr>
            </w:pPr>
            <w:r w:rsidRPr="006E21A3">
              <w:rPr>
                <w:rFonts w:ascii="Arial" w:hAnsi="Arial" w:cs="Arial"/>
                <w:color w:val="000000" w:themeColor="text1"/>
                <w:sz w:val="24"/>
                <w:szCs w:val="24"/>
              </w:rPr>
              <w:t>1.4</w:t>
            </w:r>
          </w:p>
        </w:tc>
        <w:tc>
          <w:tcPr>
            <w:tcW w:w="2994" w:type="dxa"/>
          </w:tcPr>
          <w:p w14:paraId="75978115" w14:textId="77777777" w:rsidR="003F596D" w:rsidRPr="006E21A3" w:rsidRDefault="003F596D" w:rsidP="008F312F">
            <w:pPr>
              <w:spacing w:line="264" w:lineRule="auto"/>
              <w:rPr>
                <w:rFonts w:ascii="Arial" w:hAnsi="Arial" w:cs="Arial"/>
                <w:color w:val="000000" w:themeColor="text1"/>
                <w:sz w:val="24"/>
                <w:szCs w:val="24"/>
              </w:rPr>
            </w:pPr>
            <w:r w:rsidRPr="006E21A3">
              <w:rPr>
                <w:rFonts w:ascii="Arial" w:hAnsi="Arial" w:cs="Arial"/>
                <w:color w:val="000000" w:themeColor="text1"/>
                <w:sz w:val="24"/>
                <w:szCs w:val="24"/>
              </w:rPr>
              <w:t>Operational colleagues say we give appropriate weight to people’s experiences of care</w:t>
            </w:r>
          </w:p>
        </w:tc>
        <w:tc>
          <w:tcPr>
            <w:tcW w:w="7038" w:type="dxa"/>
          </w:tcPr>
          <w:p w14:paraId="504007ED" w14:textId="77777777" w:rsidR="003F596D" w:rsidRPr="00B24666" w:rsidRDefault="003F596D" w:rsidP="008F312F">
            <w:pPr>
              <w:spacing w:line="264" w:lineRule="auto"/>
              <w:rPr>
                <w:rFonts w:ascii="Arial" w:hAnsi="Arial" w:cs="Arial"/>
                <w:color w:val="000000" w:themeColor="text1"/>
              </w:rPr>
            </w:pPr>
            <w:r w:rsidRPr="00B24666">
              <w:rPr>
                <w:rFonts w:ascii="Arial" w:hAnsi="Arial" w:cs="Arial"/>
                <w:color w:val="000000" w:themeColor="text1"/>
              </w:rPr>
              <w:t xml:space="preserve">We are not collecting this yet but will ask this on our next survey </w:t>
            </w:r>
          </w:p>
        </w:tc>
        <w:tc>
          <w:tcPr>
            <w:tcW w:w="1401" w:type="dxa"/>
            <w:shd w:val="clear" w:color="auto" w:fill="E7E6E6" w:themeFill="background2"/>
          </w:tcPr>
          <w:p w14:paraId="437CEE55" w14:textId="77777777" w:rsidR="003F596D" w:rsidRPr="006E21A3" w:rsidRDefault="003F596D" w:rsidP="008F312F">
            <w:pPr>
              <w:spacing w:line="264" w:lineRule="auto"/>
              <w:rPr>
                <w:rFonts w:ascii="Arial" w:hAnsi="Arial" w:cs="Arial"/>
                <w:color w:val="000000" w:themeColor="text1"/>
                <w:sz w:val="24"/>
                <w:szCs w:val="24"/>
              </w:rPr>
            </w:pPr>
            <w:r>
              <w:rPr>
                <w:rFonts w:ascii="Arial" w:hAnsi="Arial" w:cs="Arial"/>
                <w:color w:val="000000" w:themeColor="text1"/>
                <w:sz w:val="24"/>
                <w:szCs w:val="24"/>
              </w:rPr>
              <w:t>Too early</w:t>
            </w:r>
          </w:p>
        </w:tc>
      </w:tr>
    </w:tbl>
    <w:p w14:paraId="09BE6971" w14:textId="2187D1E6" w:rsidR="00B24666" w:rsidRDefault="00B24666" w:rsidP="003F596D">
      <w:pPr>
        <w:rPr>
          <w:rFonts w:ascii="Arial" w:hAnsi="Arial" w:cs="Arial"/>
        </w:rPr>
      </w:pPr>
    </w:p>
    <w:p w14:paraId="728C1D93" w14:textId="52021725" w:rsidR="00B24666" w:rsidRDefault="00B24666">
      <w:pPr>
        <w:rPr>
          <w:rFonts w:ascii="Arial" w:hAnsi="Arial" w:cs="Arial"/>
        </w:rPr>
      </w:pPr>
    </w:p>
    <w:p w14:paraId="0D1CB63C" w14:textId="77777777" w:rsidR="003F596D" w:rsidRPr="006E21A3" w:rsidRDefault="003F596D" w:rsidP="003F596D">
      <w:pPr>
        <w:rPr>
          <w:rFonts w:ascii="Arial" w:hAnsi="Arial" w:cs="Arial"/>
        </w:rPr>
      </w:pPr>
    </w:p>
    <w:tbl>
      <w:tblPr>
        <w:tblStyle w:val="TableGrid"/>
        <w:tblW w:w="15451" w:type="dxa"/>
        <w:jc w:val="center"/>
        <w:tblLook w:val="04A0" w:firstRow="1" w:lastRow="0" w:firstColumn="1" w:lastColumn="0" w:noHBand="0" w:noVBand="1"/>
      </w:tblPr>
      <w:tblGrid>
        <w:gridCol w:w="2293"/>
        <w:gridCol w:w="1710"/>
        <w:gridCol w:w="3242"/>
        <w:gridCol w:w="6549"/>
        <w:gridCol w:w="1657"/>
      </w:tblGrid>
      <w:tr w:rsidR="003F596D" w:rsidRPr="006E21A3" w14:paraId="06413897" w14:textId="77777777" w:rsidTr="62B52220">
        <w:trPr>
          <w:jc w:val="center"/>
        </w:trPr>
        <w:tc>
          <w:tcPr>
            <w:tcW w:w="2293" w:type="dxa"/>
          </w:tcPr>
          <w:p w14:paraId="68DFD6E2" w14:textId="77777777" w:rsidR="003F596D" w:rsidRPr="006E21A3" w:rsidRDefault="003F596D" w:rsidP="008F312F">
            <w:pPr>
              <w:spacing w:line="264" w:lineRule="auto"/>
              <w:rPr>
                <w:rFonts w:ascii="Arial" w:hAnsi="Arial" w:cs="Arial"/>
                <w:b/>
                <w:bCs/>
                <w:color w:val="000000" w:themeColor="text1"/>
                <w:sz w:val="24"/>
                <w:szCs w:val="24"/>
                <w:u w:val="single"/>
              </w:rPr>
            </w:pPr>
            <w:r w:rsidRPr="006E21A3">
              <w:rPr>
                <w:rFonts w:ascii="Arial" w:hAnsi="Arial" w:cs="Arial"/>
                <w:b/>
                <w:bCs/>
                <w:color w:val="000000" w:themeColor="text1"/>
                <w:sz w:val="28"/>
                <w:szCs w:val="28"/>
              </w:rPr>
              <w:t>Equality Objective</w:t>
            </w:r>
          </w:p>
        </w:tc>
        <w:tc>
          <w:tcPr>
            <w:tcW w:w="1710" w:type="dxa"/>
          </w:tcPr>
          <w:p w14:paraId="6E439D33" w14:textId="77777777" w:rsidR="003F596D" w:rsidRPr="006E21A3" w:rsidRDefault="003F596D" w:rsidP="008F312F">
            <w:pPr>
              <w:spacing w:line="264" w:lineRule="auto"/>
              <w:rPr>
                <w:rFonts w:ascii="Arial" w:hAnsi="Arial" w:cs="Arial"/>
                <w:color w:val="000000" w:themeColor="text1"/>
                <w:sz w:val="24"/>
                <w:szCs w:val="24"/>
              </w:rPr>
            </w:pPr>
            <w:r w:rsidRPr="006E21A3">
              <w:rPr>
                <w:rFonts w:ascii="Arial" w:hAnsi="Arial" w:cs="Arial"/>
                <w:b/>
                <w:bCs/>
                <w:color w:val="000000" w:themeColor="text1"/>
                <w:sz w:val="28"/>
                <w:szCs w:val="28"/>
              </w:rPr>
              <w:t>Reference</w:t>
            </w:r>
          </w:p>
        </w:tc>
        <w:tc>
          <w:tcPr>
            <w:tcW w:w="3242" w:type="dxa"/>
          </w:tcPr>
          <w:p w14:paraId="32F2AC75" w14:textId="77777777" w:rsidR="003F596D" w:rsidRPr="006E21A3" w:rsidRDefault="003F596D" w:rsidP="008F312F">
            <w:pPr>
              <w:spacing w:line="264" w:lineRule="auto"/>
              <w:rPr>
                <w:rFonts w:ascii="Arial" w:hAnsi="Arial" w:cs="Arial"/>
                <w:color w:val="000000" w:themeColor="text1"/>
                <w:sz w:val="24"/>
                <w:szCs w:val="24"/>
              </w:rPr>
            </w:pPr>
            <w:r w:rsidRPr="006E21A3">
              <w:rPr>
                <w:rFonts w:ascii="Arial" w:hAnsi="Arial" w:cs="Arial"/>
                <w:b/>
                <w:bCs/>
                <w:color w:val="000000" w:themeColor="text1"/>
                <w:sz w:val="28"/>
                <w:szCs w:val="28"/>
              </w:rPr>
              <w:t>Measures</w:t>
            </w:r>
          </w:p>
        </w:tc>
        <w:tc>
          <w:tcPr>
            <w:tcW w:w="6549" w:type="dxa"/>
          </w:tcPr>
          <w:p w14:paraId="22CED2F5" w14:textId="77777777" w:rsidR="003F596D" w:rsidRPr="006E21A3" w:rsidRDefault="003F596D" w:rsidP="008F312F">
            <w:pPr>
              <w:spacing w:line="264" w:lineRule="auto"/>
              <w:rPr>
                <w:rFonts w:ascii="Arial" w:hAnsi="Arial" w:cs="Arial"/>
                <w:color w:val="000000" w:themeColor="text1"/>
                <w:sz w:val="24"/>
                <w:szCs w:val="24"/>
              </w:rPr>
            </w:pPr>
            <w:r w:rsidRPr="006E21A3">
              <w:rPr>
                <w:rFonts w:ascii="Arial" w:hAnsi="Arial" w:cs="Arial"/>
                <w:b/>
                <w:bCs/>
                <w:color w:val="000000" w:themeColor="text1"/>
                <w:sz w:val="28"/>
                <w:szCs w:val="28"/>
              </w:rPr>
              <w:t>Performance data</w:t>
            </w:r>
          </w:p>
        </w:tc>
        <w:tc>
          <w:tcPr>
            <w:tcW w:w="1657" w:type="dxa"/>
          </w:tcPr>
          <w:p w14:paraId="737FBB4C" w14:textId="77777777" w:rsidR="003F596D" w:rsidRPr="006E21A3" w:rsidRDefault="003F596D" w:rsidP="008F312F">
            <w:pPr>
              <w:spacing w:line="264" w:lineRule="auto"/>
              <w:rPr>
                <w:rFonts w:ascii="Arial" w:hAnsi="Arial" w:cs="Arial"/>
                <w:b/>
                <w:bCs/>
                <w:color w:val="000000" w:themeColor="text1"/>
                <w:sz w:val="28"/>
                <w:szCs w:val="28"/>
              </w:rPr>
            </w:pPr>
            <w:r>
              <w:rPr>
                <w:rFonts w:ascii="Arial" w:hAnsi="Arial" w:cs="Arial"/>
                <w:b/>
                <w:bCs/>
                <w:color w:val="000000" w:themeColor="text1"/>
                <w:sz w:val="28"/>
                <w:szCs w:val="28"/>
              </w:rPr>
              <w:t>RAG rating</w:t>
            </w:r>
          </w:p>
        </w:tc>
      </w:tr>
      <w:tr w:rsidR="003F596D" w:rsidRPr="006E21A3" w14:paraId="760D5151" w14:textId="77777777" w:rsidTr="62B52220">
        <w:trPr>
          <w:jc w:val="center"/>
        </w:trPr>
        <w:tc>
          <w:tcPr>
            <w:tcW w:w="2293" w:type="dxa"/>
            <w:vMerge w:val="restart"/>
          </w:tcPr>
          <w:p w14:paraId="0F24B494" w14:textId="77777777" w:rsidR="003F596D" w:rsidRPr="006E21A3" w:rsidRDefault="003F596D" w:rsidP="003F596D">
            <w:pPr>
              <w:pStyle w:val="ListParagraph"/>
              <w:numPr>
                <w:ilvl w:val="0"/>
                <w:numId w:val="15"/>
              </w:numPr>
              <w:spacing w:line="264" w:lineRule="auto"/>
              <w:rPr>
                <w:rFonts w:ascii="Arial" w:hAnsi="Arial" w:cs="Arial"/>
                <w:b/>
                <w:bCs/>
                <w:color w:val="000000" w:themeColor="text1"/>
                <w:sz w:val="28"/>
                <w:szCs w:val="28"/>
              </w:rPr>
            </w:pPr>
            <w:r w:rsidRPr="006E21A3">
              <w:rPr>
                <w:rFonts w:ascii="Arial" w:hAnsi="Arial" w:cs="Arial"/>
                <w:b/>
                <w:bCs/>
                <w:color w:val="000000" w:themeColor="text1"/>
                <w:sz w:val="28"/>
                <w:szCs w:val="28"/>
              </w:rPr>
              <w:t>Using data to understand and respond to equality risks</w:t>
            </w:r>
          </w:p>
          <w:p w14:paraId="0E303C54" w14:textId="77777777" w:rsidR="003F596D" w:rsidRPr="006E21A3" w:rsidRDefault="003F596D" w:rsidP="008F312F">
            <w:pPr>
              <w:spacing w:line="264" w:lineRule="auto"/>
              <w:rPr>
                <w:rFonts w:ascii="Arial" w:hAnsi="Arial" w:cs="Arial"/>
                <w:b/>
                <w:bCs/>
                <w:color w:val="000000" w:themeColor="text1"/>
                <w:sz w:val="24"/>
                <w:szCs w:val="24"/>
                <w:u w:val="single"/>
              </w:rPr>
            </w:pPr>
          </w:p>
        </w:tc>
        <w:tc>
          <w:tcPr>
            <w:tcW w:w="1710" w:type="dxa"/>
          </w:tcPr>
          <w:p w14:paraId="6B871C95" w14:textId="77777777" w:rsidR="003F596D" w:rsidRPr="006E21A3" w:rsidRDefault="003F596D" w:rsidP="008F312F">
            <w:pPr>
              <w:spacing w:line="264" w:lineRule="auto"/>
              <w:rPr>
                <w:rFonts w:ascii="Arial" w:hAnsi="Arial" w:cs="Arial"/>
                <w:color w:val="000000" w:themeColor="text1"/>
                <w:sz w:val="24"/>
                <w:szCs w:val="24"/>
              </w:rPr>
            </w:pPr>
            <w:r w:rsidRPr="006E21A3">
              <w:rPr>
                <w:rFonts w:ascii="Arial" w:hAnsi="Arial" w:cs="Arial"/>
                <w:color w:val="000000" w:themeColor="text1"/>
                <w:sz w:val="24"/>
                <w:szCs w:val="24"/>
              </w:rPr>
              <w:t>2.1</w:t>
            </w:r>
          </w:p>
        </w:tc>
        <w:tc>
          <w:tcPr>
            <w:tcW w:w="3242" w:type="dxa"/>
          </w:tcPr>
          <w:p w14:paraId="39607791" w14:textId="77777777" w:rsidR="003F596D" w:rsidRPr="006E21A3" w:rsidRDefault="003F596D" w:rsidP="008F312F">
            <w:pPr>
              <w:spacing w:line="264" w:lineRule="auto"/>
              <w:rPr>
                <w:rFonts w:ascii="Arial" w:hAnsi="Arial" w:cs="Arial"/>
                <w:color w:val="000000" w:themeColor="text1"/>
                <w:sz w:val="24"/>
                <w:szCs w:val="24"/>
              </w:rPr>
            </w:pPr>
            <w:r w:rsidRPr="006E21A3">
              <w:rPr>
                <w:rFonts w:ascii="Arial" w:hAnsi="Arial" w:cs="Arial"/>
                <w:color w:val="000000" w:themeColor="text1"/>
                <w:sz w:val="24"/>
                <w:szCs w:val="24"/>
              </w:rPr>
              <w:t>Data items in risk models relating to equality risks</w:t>
            </w:r>
          </w:p>
        </w:tc>
        <w:tc>
          <w:tcPr>
            <w:tcW w:w="6549" w:type="dxa"/>
          </w:tcPr>
          <w:p w14:paraId="44D7BDD5" w14:textId="4224185D" w:rsidR="003F596D" w:rsidRPr="007C4FD8" w:rsidRDefault="003F596D" w:rsidP="008F312F">
            <w:pPr>
              <w:spacing w:line="264" w:lineRule="auto"/>
              <w:rPr>
                <w:rFonts w:ascii="Arial" w:hAnsi="Arial" w:cs="Arial"/>
              </w:rPr>
            </w:pPr>
            <w:r w:rsidRPr="007C4FD8">
              <w:rPr>
                <w:rFonts w:ascii="Arial" w:hAnsi="Arial" w:cs="Arial"/>
              </w:rPr>
              <w:t xml:space="preserve">Risk models for our new approach are not finalised yet. However, </w:t>
            </w:r>
            <w:r w:rsidRPr="007C4FD8">
              <w:rPr>
                <w:rFonts w:ascii="Arial" w:hAnsi="Arial" w:cs="Arial"/>
                <w:b/>
                <w:bCs/>
              </w:rPr>
              <w:t>13/ 34</w:t>
            </w:r>
            <w:r w:rsidRPr="007C4FD8">
              <w:rPr>
                <w:rFonts w:ascii="Arial" w:hAnsi="Arial" w:cs="Arial"/>
              </w:rPr>
              <w:t xml:space="preserve"> quality statements in our new regulatory model are directly related to equality risks, compared to 8/27 Key lines of enquiry for health services and 10/21 key lines of enquiry for adult social care in our existing model</w:t>
            </w:r>
            <w:r w:rsidR="00821E83">
              <w:rPr>
                <w:rStyle w:val="EndnoteReference"/>
                <w:rFonts w:ascii="Arial" w:hAnsi="Arial" w:cs="Arial"/>
              </w:rPr>
              <w:endnoteReference w:id="6"/>
            </w:r>
            <w:r w:rsidRPr="007C4FD8">
              <w:rPr>
                <w:rFonts w:ascii="Arial" w:hAnsi="Arial" w:cs="Arial"/>
              </w:rPr>
              <w:t xml:space="preserve">. </w:t>
            </w:r>
            <w:r w:rsidR="007C4FD8" w:rsidRPr="007C4FD8">
              <w:rPr>
                <w:rFonts w:ascii="Arial" w:hAnsi="Arial" w:cs="Arial"/>
              </w:rPr>
              <w:t>D</w:t>
            </w:r>
            <w:r w:rsidRPr="007C4FD8">
              <w:rPr>
                <w:rFonts w:ascii="Arial" w:hAnsi="Arial" w:cs="Arial"/>
              </w:rPr>
              <w:t xml:space="preserve">evelopment of our </w:t>
            </w:r>
            <w:r w:rsidR="00B24666" w:rsidRPr="007C4FD8">
              <w:rPr>
                <w:rFonts w:ascii="Arial" w:hAnsi="Arial" w:cs="Arial"/>
              </w:rPr>
              <w:t>new approach</w:t>
            </w:r>
            <w:r w:rsidRPr="007C4FD8">
              <w:rPr>
                <w:rFonts w:ascii="Arial" w:hAnsi="Arial" w:cs="Arial"/>
              </w:rPr>
              <w:t xml:space="preserve"> based on “required evidence”</w:t>
            </w:r>
            <w:r w:rsidR="003719EA" w:rsidRPr="007C4FD8">
              <w:rPr>
                <w:rFonts w:ascii="Arial" w:hAnsi="Arial" w:cs="Arial"/>
              </w:rPr>
              <w:t xml:space="preserve"> for each </w:t>
            </w:r>
            <w:r w:rsidR="007C4FD8" w:rsidRPr="007C4FD8">
              <w:rPr>
                <w:rFonts w:ascii="Arial" w:hAnsi="Arial" w:cs="Arial"/>
              </w:rPr>
              <w:t>quality statement</w:t>
            </w:r>
            <w:r w:rsidRPr="007C4FD8">
              <w:rPr>
                <w:rFonts w:ascii="Arial" w:hAnsi="Arial" w:cs="Arial"/>
              </w:rPr>
              <w:t xml:space="preserve"> is also likely to increase data items related to equality risks. </w:t>
            </w:r>
          </w:p>
        </w:tc>
        <w:tc>
          <w:tcPr>
            <w:tcW w:w="1657" w:type="dxa"/>
            <w:shd w:val="clear" w:color="auto" w:fill="E7E6E6" w:themeFill="background2"/>
          </w:tcPr>
          <w:p w14:paraId="239A6B26" w14:textId="77777777" w:rsidR="003F596D" w:rsidRDefault="003F596D" w:rsidP="008F312F">
            <w:pPr>
              <w:spacing w:line="264" w:lineRule="auto"/>
              <w:rPr>
                <w:rFonts w:ascii="Arial" w:hAnsi="Arial" w:cs="Arial"/>
                <w:sz w:val="24"/>
                <w:szCs w:val="24"/>
              </w:rPr>
            </w:pPr>
            <w:r>
              <w:rPr>
                <w:rFonts w:ascii="Arial" w:hAnsi="Arial" w:cs="Arial"/>
                <w:sz w:val="24"/>
                <w:szCs w:val="24"/>
              </w:rPr>
              <w:t>Too early</w:t>
            </w:r>
          </w:p>
        </w:tc>
      </w:tr>
      <w:tr w:rsidR="003F596D" w:rsidRPr="006E21A3" w14:paraId="7F681E5A" w14:textId="77777777" w:rsidTr="62B52220">
        <w:trPr>
          <w:jc w:val="center"/>
        </w:trPr>
        <w:tc>
          <w:tcPr>
            <w:tcW w:w="2293" w:type="dxa"/>
            <w:vMerge/>
          </w:tcPr>
          <w:p w14:paraId="77F57953" w14:textId="77777777" w:rsidR="003F596D" w:rsidRPr="006E21A3" w:rsidRDefault="003F596D" w:rsidP="008F312F">
            <w:pPr>
              <w:spacing w:line="264" w:lineRule="auto"/>
              <w:rPr>
                <w:rFonts w:ascii="Arial" w:hAnsi="Arial" w:cs="Arial"/>
                <w:b/>
                <w:bCs/>
                <w:color w:val="000000" w:themeColor="text1"/>
                <w:sz w:val="24"/>
                <w:szCs w:val="24"/>
                <w:u w:val="single"/>
              </w:rPr>
            </w:pPr>
          </w:p>
        </w:tc>
        <w:tc>
          <w:tcPr>
            <w:tcW w:w="1710" w:type="dxa"/>
          </w:tcPr>
          <w:p w14:paraId="1F3C4A62" w14:textId="77777777" w:rsidR="003F596D" w:rsidRPr="006E21A3" w:rsidRDefault="003F596D" w:rsidP="008F312F">
            <w:pPr>
              <w:spacing w:line="264" w:lineRule="auto"/>
              <w:rPr>
                <w:rFonts w:ascii="Arial" w:hAnsi="Arial" w:cs="Arial"/>
                <w:color w:val="000000" w:themeColor="text1"/>
                <w:sz w:val="24"/>
                <w:szCs w:val="24"/>
              </w:rPr>
            </w:pPr>
            <w:r w:rsidRPr="006E21A3">
              <w:rPr>
                <w:rFonts w:ascii="Arial" w:hAnsi="Arial" w:cs="Arial"/>
                <w:color w:val="000000" w:themeColor="text1"/>
                <w:sz w:val="24"/>
                <w:szCs w:val="24"/>
              </w:rPr>
              <w:t>2.2</w:t>
            </w:r>
          </w:p>
        </w:tc>
        <w:tc>
          <w:tcPr>
            <w:tcW w:w="3242" w:type="dxa"/>
          </w:tcPr>
          <w:p w14:paraId="66FE545C" w14:textId="77777777" w:rsidR="003F596D" w:rsidRPr="006E21A3" w:rsidRDefault="003F596D" w:rsidP="008F312F">
            <w:pPr>
              <w:spacing w:line="264" w:lineRule="auto"/>
              <w:rPr>
                <w:rFonts w:ascii="Arial" w:hAnsi="Arial" w:cs="Arial"/>
                <w:color w:val="000000" w:themeColor="text1"/>
                <w:sz w:val="24"/>
                <w:szCs w:val="24"/>
              </w:rPr>
            </w:pPr>
            <w:r w:rsidRPr="006E21A3">
              <w:rPr>
                <w:rFonts w:ascii="Arial" w:hAnsi="Arial" w:cs="Arial"/>
                <w:color w:val="000000" w:themeColor="text1"/>
                <w:sz w:val="24"/>
                <w:szCs w:val="24"/>
              </w:rPr>
              <w:t>Data on equality risks that triggers regulatory action</w:t>
            </w:r>
          </w:p>
        </w:tc>
        <w:tc>
          <w:tcPr>
            <w:tcW w:w="6549" w:type="dxa"/>
          </w:tcPr>
          <w:p w14:paraId="45F7478E" w14:textId="77777777" w:rsidR="003F596D" w:rsidRPr="007C4FD8" w:rsidRDefault="003F596D" w:rsidP="008F312F">
            <w:pPr>
              <w:spacing w:line="264" w:lineRule="auto"/>
              <w:rPr>
                <w:rFonts w:ascii="Arial" w:hAnsi="Arial" w:cs="Arial"/>
                <w:color w:val="000000" w:themeColor="text1"/>
              </w:rPr>
            </w:pPr>
            <w:r w:rsidRPr="007C4FD8">
              <w:rPr>
                <w:rFonts w:ascii="Arial" w:hAnsi="Arial" w:cs="Arial"/>
                <w:color w:val="000000" w:themeColor="text1"/>
              </w:rPr>
              <w:t>We are not measuring this yet.</w:t>
            </w:r>
          </w:p>
        </w:tc>
        <w:tc>
          <w:tcPr>
            <w:tcW w:w="1657" w:type="dxa"/>
            <w:shd w:val="clear" w:color="auto" w:fill="E7E6E6" w:themeFill="background2"/>
          </w:tcPr>
          <w:p w14:paraId="3A80EF46" w14:textId="77777777" w:rsidR="003F596D" w:rsidRPr="006E21A3" w:rsidRDefault="003F596D" w:rsidP="008F312F">
            <w:pPr>
              <w:spacing w:line="264" w:lineRule="auto"/>
              <w:rPr>
                <w:rFonts w:ascii="Arial" w:hAnsi="Arial" w:cs="Arial"/>
                <w:color w:val="000000" w:themeColor="text1"/>
                <w:sz w:val="24"/>
                <w:szCs w:val="24"/>
              </w:rPr>
            </w:pPr>
            <w:r>
              <w:rPr>
                <w:rFonts w:ascii="Arial" w:hAnsi="Arial" w:cs="Arial"/>
                <w:color w:val="000000" w:themeColor="text1"/>
                <w:sz w:val="24"/>
                <w:szCs w:val="24"/>
              </w:rPr>
              <w:t>Too early</w:t>
            </w:r>
          </w:p>
        </w:tc>
      </w:tr>
      <w:tr w:rsidR="003F596D" w:rsidRPr="006E21A3" w14:paraId="45EDB7CB" w14:textId="77777777" w:rsidTr="62B52220">
        <w:trPr>
          <w:jc w:val="center"/>
        </w:trPr>
        <w:tc>
          <w:tcPr>
            <w:tcW w:w="2293" w:type="dxa"/>
            <w:vMerge/>
          </w:tcPr>
          <w:p w14:paraId="58615F4D" w14:textId="77777777" w:rsidR="003F596D" w:rsidRPr="006E21A3" w:rsidRDefault="003F596D" w:rsidP="008F312F">
            <w:pPr>
              <w:spacing w:line="264" w:lineRule="auto"/>
              <w:rPr>
                <w:rFonts w:ascii="Arial" w:hAnsi="Arial" w:cs="Arial"/>
                <w:b/>
                <w:bCs/>
                <w:color w:val="000000" w:themeColor="text1"/>
                <w:sz w:val="24"/>
                <w:szCs w:val="24"/>
                <w:u w:val="single"/>
              </w:rPr>
            </w:pPr>
          </w:p>
        </w:tc>
        <w:tc>
          <w:tcPr>
            <w:tcW w:w="1710" w:type="dxa"/>
          </w:tcPr>
          <w:p w14:paraId="2A91E983" w14:textId="77777777" w:rsidR="003F596D" w:rsidRPr="006E21A3" w:rsidRDefault="003F596D" w:rsidP="008F312F">
            <w:pPr>
              <w:spacing w:line="264" w:lineRule="auto"/>
              <w:rPr>
                <w:rFonts w:ascii="Arial" w:hAnsi="Arial" w:cs="Arial"/>
                <w:color w:val="000000" w:themeColor="text1"/>
                <w:sz w:val="24"/>
                <w:szCs w:val="24"/>
              </w:rPr>
            </w:pPr>
            <w:r w:rsidRPr="006E21A3">
              <w:rPr>
                <w:rFonts w:ascii="Arial" w:hAnsi="Arial" w:cs="Arial"/>
                <w:color w:val="000000" w:themeColor="text1"/>
                <w:sz w:val="24"/>
                <w:szCs w:val="24"/>
              </w:rPr>
              <w:t>2.3</w:t>
            </w:r>
          </w:p>
        </w:tc>
        <w:tc>
          <w:tcPr>
            <w:tcW w:w="3242" w:type="dxa"/>
          </w:tcPr>
          <w:p w14:paraId="3AB80694" w14:textId="77777777" w:rsidR="003F596D" w:rsidRPr="006E21A3" w:rsidRDefault="003F596D" w:rsidP="008F312F">
            <w:pPr>
              <w:spacing w:line="264" w:lineRule="auto"/>
              <w:rPr>
                <w:rFonts w:ascii="Arial" w:hAnsi="Arial" w:cs="Arial"/>
                <w:color w:val="000000" w:themeColor="text1"/>
                <w:sz w:val="24"/>
                <w:szCs w:val="24"/>
              </w:rPr>
            </w:pPr>
            <w:r w:rsidRPr="006E21A3">
              <w:rPr>
                <w:rFonts w:ascii="Arial" w:eastAsia="Times New Roman" w:hAnsi="Arial" w:cs="Arial"/>
                <w:color w:val="000000" w:themeColor="text1"/>
                <w:spacing w:val="-5"/>
                <w:sz w:val="24"/>
                <w:szCs w:val="24"/>
                <w:lang w:eastAsia="en-GB"/>
              </w:rPr>
              <w:t>U</w:t>
            </w:r>
            <w:r w:rsidRPr="006C5022">
              <w:rPr>
                <w:rFonts w:ascii="Arial" w:eastAsia="Times New Roman" w:hAnsi="Arial" w:cs="Arial"/>
                <w:color w:val="000000" w:themeColor="text1"/>
                <w:spacing w:val="-5"/>
                <w:sz w:val="24"/>
                <w:szCs w:val="24"/>
                <w:lang w:eastAsia="en-GB"/>
              </w:rPr>
              <w:t>se of information on equality risks in the reports we publish about our assessments</w:t>
            </w:r>
          </w:p>
        </w:tc>
        <w:tc>
          <w:tcPr>
            <w:tcW w:w="6549" w:type="dxa"/>
          </w:tcPr>
          <w:p w14:paraId="40E13A40" w14:textId="77777777" w:rsidR="003F596D" w:rsidRPr="007C4FD8" w:rsidRDefault="003F596D" w:rsidP="008F312F">
            <w:pPr>
              <w:spacing w:line="264" w:lineRule="auto"/>
              <w:rPr>
                <w:rFonts w:ascii="Arial" w:hAnsi="Arial" w:cs="Arial"/>
                <w:color w:val="000000" w:themeColor="text1"/>
              </w:rPr>
            </w:pPr>
            <w:r w:rsidRPr="007C4FD8">
              <w:rPr>
                <w:rFonts w:ascii="Arial" w:hAnsi="Arial" w:cs="Arial"/>
                <w:color w:val="000000" w:themeColor="text1"/>
              </w:rPr>
              <w:t>We are not measuring this yet.</w:t>
            </w:r>
          </w:p>
        </w:tc>
        <w:tc>
          <w:tcPr>
            <w:tcW w:w="1657" w:type="dxa"/>
            <w:shd w:val="clear" w:color="auto" w:fill="E7E6E6" w:themeFill="background2"/>
          </w:tcPr>
          <w:p w14:paraId="1B8484F7" w14:textId="77777777" w:rsidR="003F596D" w:rsidRPr="006E21A3" w:rsidRDefault="003F596D" w:rsidP="008F312F">
            <w:pPr>
              <w:spacing w:line="264" w:lineRule="auto"/>
              <w:rPr>
                <w:rFonts w:ascii="Arial" w:hAnsi="Arial" w:cs="Arial"/>
                <w:color w:val="000000" w:themeColor="text1"/>
                <w:sz w:val="24"/>
                <w:szCs w:val="24"/>
              </w:rPr>
            </w:pPr>
            <w:r>
              <w:rPr>
                <w:rFonts w:ascii="Arial" w:hAnsi="Arial" w:cs="Arial"/>
                <w:color w:val="000000" w:themeColor="text1"/>
                <w:sz w:val="24"/>
                <w:szCs w:val="24"/>
              </w:rPr>
              <w:t>Too early</w:t>
            </w:r>
          </w:p>
        </w:tc>
      </w:tr>
      <w:tr w:rsidR="003F596D" w:rsidRPr="006E21A3" w14:paraId="3A87FA62" w14:textId="77777777" w:rsidTr="62B52220">
        <w:trPr>
          <w:jc w:val="center"/>
        </w:trPr>
        <w:tc>
          <w:tcPr>
            <w:tcW w:w="2293" w:type="dxa"/>
            <w:vMerge/>
          </w:tcPr>
          <w:p w14:paraId="4BB0CC33" w14:textId="77777777" w:rsidR="003F596D" w:rsidRPr="006E21A3" w:rsidRDefault="003F596D" w:rsidP="008F312F">
            <w:pPr>
              <w:spacing w:line="264" w:lineRule="auto"/>
              <w:rPr>
                <w:rFonts w:ascii="Arial" w:hAnsi="Arial" w:cs="Arial"/>
                <w:b/>
                <w:bCs/>
                <w:color w:val="000000" w:themeColor="text1"/>
                <w:sz w:val="24"/>
                <w:szCs w:val="24"/>
                <w:u w:val="single"/>
              </w:rPr>
            </w:pPr>
          </w:p>
        </w:tc>
        <w:tc>
          <w:tcPr>
            <w:tcW w:w="1710" w:type="dxa"/>
          </w:tcPr>
          <w:p w14:paraId="5896981E" w14:textId="77777777" w:rsidR="003F596D" w:rsidRPr="006E21A3" w:rsidRDefault="003F596D" w:rsidP="008F312F">
            <w:pPr>
              <w:spacing w:line="264" w:lineRule="auto"/>
              <w:rPr>
                <w:rFonts w:ascii="Arial" w:hAnsi="Arial" w:cs="Arial"/>
                <w:color w:val="000000" w:themeColor="text1"/>
                <w:sz w:val="24"/>
                <w:szCs w:val="24"/>
              </w:rPr>
            </w:pPr>
            <w:r w:rsidRPr="006E21A3">
              <w:rPr>
                <w:rFonts w:ascii="Arial" w:hAnsi="Arial" w:cs="Arial"/>
                <w:color w:val="000000" w:themeColor="text1"/>
                <w:sz w:val="24"/>
                <w:szCs w:val="24"/>
              </w:rPr>
              <w:t>2.4</w:t>
            </w:r>
          </w:p>
        </w:tc>
        <w:tc>
          <w:tcPr>
            <w:tcW w:w="3242" w:type="dxa"/>
          </w:tcPr>
          <w:p w14:paraId="24569DB4" w14:textId="77777777" w:rsidR="003F596D" w:rsidRPr="006E21A3" w:rsidRDefault="003F596D" w:rsidP="008F312F">
            <w:pPr>
              <w:spacing w:line="264" w:lineRule="auto"/>
              <w:rPr>
                <w:rFonts w:ascii="Arial" w:hAnsi="Arial" w:cs="Arial"/>
                <w:color w:val="000000" w:themeColor="text1"/>
                <w:sz w:val="24"/>
                <w:szCs w:val="24"/>
              </w:rPr>
            </w:pPr>
            <w:r w:rsidRPr="006E21A3">
              <w:rPr>
                <w:rFonts w:ascii="Arial" w:eastAsia="Times New Roman" w:hAnsi="Arial" w:cs="Arial"/>
                <w:color w:val="000000" w:themeColor="text1"/>
                <w:spacing w:val="-5"/>
                <w:sz w:val="24"/>
                <w:szCs w:val="24"/>
                <w:lang w:eastAsia="en-GB"/>
              </w:rPr>
              <w:t>Services, local stakeholders and operational colleagues who say we maintain an up-to-date picture of quality of services, and in local systems, through a range of information</w:t>
            </w:r>
          </w:p>
        </w:tc>
        <w:tc>
          <w:tcPr>
            <w:tcW w:w="6549" w:type="dxa"/>
          </w:tcPr>
          <w:p w14:paraId="29ECBDF6" w14:textId="1B3E538D" w:rsidR="003F596D" w:rsidRPr="007C4FD8" w:rsidRDefault="003F596D" w:rsidP="008F312F">
            <w:pPr>
              <w:pStyle w:val="paragraph"/>
              <w:spacing w:before="0" w:beforeAutospacing="0" w:after="0" w:afterAutospacing="0"/>
              <w:textAlignment w:val="baseline"/>
              <w:rPr>
                <w:rFonts w:ascii="Segoe UI" w:hAnsi="Segoe UI" w:cs="Segoe UI"/>
                <w:sz w:val="22"/>
                <w:szCs w:val="22"/>
              </w:rPr>
            </w:pPr>
            <w:r w:rsidRPr="007C4FD8">
              <w:rPr>
                <w:rFonts w:ascii="Arial" w:hAnsi="Arial" w:cs="Arial"/>
                <w:b/>
                <w:bCs/>
                <w:color w:val="000000" w:themeColor="text1"/>
                <w:sz w:val="22"/>
                <w:szCs w:val="22"/>
              </w:rPr>
              <w:t>45%</w:t>
            </w:r>
            <w:r w:rsidRPr="007C4FD8">
              <w:rPr>
                <w:rFonts w:ascii="Arial" w:hAnsi="Arial" w:cs="Arial"/>
                <w:color w:val="000000" w:themeColor="text1"/>
                <w:sz w:val="22"/>
                <w:szCs w:val="22"/>
              </w:rPr>
              <w:t xml:space="preserve"> of local stakeholder </w:t>
            </w:r>
            <w:r w:rsidRPr="007C4FD8">
              <w:rPr>
                <w:rFonts w:ascii="Arial" w:hAnsi="Arial" w:cs="Arial"/>
                <w:color w:val="000000" w:themeColor="text1"/>
                <w:sz w:val="22"/>
                <w:szCs w:val="22"/>
                <w:shd w:val="clear" w:color="auto" w:fill="E6E6E6"/>
              </w:rPr>
              <w:t>survey respondents</w:t>
            </w:r>
            <w:r w:rsidRPr="007C4FD8">
              <w:rPr>
                <w:rFonts w:ascii="Arial" w:hAnsi="Arial" w:cs="Arial"/>
                <w:color w:val="000000" w:themeColor="text1"/>
                <w:sz w:val="22"/>
                <w:szCs w:val="22"/>
              </w:rPr>
              <w:t xml:space="preserve"> </w:t>
            </w:r>
            <w:r w:rsidRPr="007C4FD8">
              <w:rPr>
                <w:rStyle w:val="normaltextrun"/>
                <w:rFonts w:ascii="Arial" w:hAnsi="Arial" w:cs="Arial"/>
                <w:color w:val="000000"/>
                <w:sz w:val="22"/>
                <w:szCs w:val="22"/>
                <w:shd w:val="clear" w:color="auto" w:fill="FFFFFF"/>
              </w:rPr>
              <w:t xml:space="preserve">(n=159) </w:t>
            </w:r>
            <w:r w:rsidRPr="007C4FD8">
              <w:rPr>
                <w:rFonts w:ascii="Arial" w:hAnsi="Arial" w:cs="Arial"/>
                <w:color w:val="000000" w:themeColor="text1"/>
                <w:sz w:val="22"/>
                <w:szCs w:val="22"/>
              </w:rPr>
              <w:t xml:space="preserve">agree with this </w:t>
            </w:r>
            <w:r w:rsidRPr="007C4FD8">
              <w:rPr>
                <w:rStyle w:val="normaltextrun"/>
                <w:rFonts w:ascii="Arial" w:hAnsi="Arial" w:cs="Arial"/>
                <w:color w:val="000000"/>
                <w:sz w:val="22"/>
                <w:szCs w:val="22"/>
                <w:bdr w:val="none" w:sz="0" w:space="0" w:color="auto" w:frame="1"/>
              </w:rPr>
              <w:t>(7% disagreed, 23% neither agreed nor disagreed and 25% did not know)</w:t>
            </w:r>
            <w:r w:rsidR="001A31F7">
              <w:rPr>
                <w:rStyle w:val="EndnoteReference"/>
                <w:rFonts w:ascii="Arial" w:hAnsi="Arial" w:cs="Arial"/>
                <w:color w:val="000000"/>
                <w:sz w:val="22"/>
                <w:szCs w:val="22"/>
                <w:bdr w:val="none" w:sz="0" w:space="0" w:color="auto" w:frame="1"/>
              </w:rPr>
              <w:endnoteReference w:id="7"/>
            </w:r>
            <w:r w:rsidRPr="007C4FD8">
              <w:rPr>
                <w:rStyle w:val="normaltextrun"/>
                <w:rFonts w:ascii="Arial" w:hAnsi="Arial" w:cs="Arial"/>
                <w:color w:val="000000"/>
                <w:sz w:val="22"/>
                <w:szCs w:val="22"/>
                <w:bdr w:val="none" w:sz="0" w:space="0" w:color="auto" w:frame="1"/>
              </w:rPr>
              <w:t xml:space="preserve"> </w:t>
            </w:r>
            <w:r w:rsidRPr="007C4FD8">
              <w:rPr>
                <w:rStyle w:val="normaltextrun"/>
                <w:rFonts w:ascii="Arial" w:hAnsi="Arial" w:cs="Arial"/>
                <w:sz w:val="22"/>
                <w:szCs w:val="22"/>
              </w:rPr>
              <w:t>[This is an aggregation of the figures below]</w:t>
            </w:r>
            <w:r w:rsidRPr="007C4FD8">
              <w:rPr>
                <w:rStyle w:val="eop"/>
                <w:rFonts w:ascii="Arial" w:hAnsi="Arial" w:cs="Arial"/>
                <w:sz w:val="22"/>
                <w:szCs w:val="22"/>
              </w:rPr>
              <w:t> </w:t>
            </w:r>
          </w:p>
          <w:p w14:paraId="7A40495A" w14:textId="6041928C" w:rsidR="003F596D" w:rsidRPr="007C4FD8" w:rsidRDefault="003F596D" w:rsidP="008F312F">
            <w:pPr>
              <w:spacing w:line="264" w:lineRule="auto"/>
              <w:rPr>
                <w:rFonts w:ascii="Arial" w:hAnsi="Arial" w:cs="Arial"/>
                <w:color w:val="000000" w:themeColor="text1"/>
              </w:rPr>
            </w:pPr>
          </w:p>
          <w:p w14:paraId="0F4AEA60" w14:textId="77777777" w:rsidR="003F596D" w:rsidRPr="007C4FD8" w:rsidRDefault="003F596D" w:rsidP="008F312F">
            <w:pPr>
              <w:pStyle w:val="paragraph"/>
              <w:spacing w:before="0" w:beforeAutospacing="0" w:after="0" w:afterAutospacing="0"/>
              <w:textAlignment w:val="baseline"/>
              <w:rPr>
                <w:rFonts w:ascii="Segoe UI" w:hAnsi="Segoe UI" w:cs="Segoe UI"/>
                <w:sz w:val="22"/>
                <w:szCs w:val="22"/>
              </w:rPr>
            </w:pPr>
            <w:r w:rsidRPr="007C4FD8">
              <w:rPr>
                <w:rStyle w:val="normaltextrun"/>
                <w:rFonts w:ascii="Arial" w:hAnsi="Arial" w:cs="Arial"/>
                <w:sz w:val="22"/>
                <w:szCs w:val="22"/>
              </w:rPr>
              <w:t xml:space="preserve">We asked local stakeholders whether CQC maintains an </w:t>
            </w:r>
            <w:r w:rsidRPr="007C4FD8">
              <w:rPr>
                <w:rStyle w:val="findhit"/>
                <w:rFonts w:ascii="Arial" w:hAnsi="Arial" w:cs="Arial"/>
                <w:sz w:val="22"/>
                <w:szCs w:val="22"/>
              </w:rPr>
              <w:t xml:space="preserve">up </w:t>
            </w:r>
            <w:r w:rsidRPr="007C4FD8">
              <w:rPr>
                <w:rStyle w:val="normaltextrun"/>
                <w:rFonts w:ascii="Arial" w:hAnsi="Arial" w:cs="Arial"/>
                <w:sz w:val="22"/>
                <w:szCs w:val="22"/>
              </w:rPr>
              <w:t>to date picture of quality using a range of information for the following sectors;</w:t>
            </w:r>
            <w:r w:rsidRPr="007C4FD8">
              <w:rPr>
                <w:rStyle w:val="eop"/>
                <w:rFonts w:ascii="Arial" w:hAnsi="Arial" w:cs="Arial"/>
                <w:sz w:val="22"/>
                <w:szCs w:val="22"/>
              </w:rPr>
              <w:t> </w:t>
            </w:r>
          </w:p>
          <w:p w14:paraId="480E0EE9" w14:textId="77777777" w:rsidR="003F596D" w:rsidRPr="007C4FD8" w:rsidRDefault="003F596D" w:rsidP="003F596D">
            <w:pPr>
              <w:pStyle w:val="paragraph"/>
              <w:numPr>
                <w:ilvl w:val="0"/>
                <w:numId w:val="16"/>
              </w:numPr>
              <w:spacing w:before="0" w:beforeAutospacing="0" w:after="0" w:afterAutospacing="0"/>
              <w:ind w:left="360" w:firstLine="0"/>
              <w:textAlignment w:val="baseline"/>
              <w:rPr>
                <w:rFonts w:ascii="Arial" w:hAnsi="Arial" w:cs="Arial"/>
                <w:sz w:val="22"/>
                <w:szCs w:val="22"/>
              </w:rPr>
            </w:pPr>
            <w:r w:rsidRPr="007C4FD8">
              <w:rPr>
                <w:rStyle w:val="normaltextrun"/>
                <w:rFonts w:ascii="Arial" w:hAnsi="Arial" w:cs="Arial"/>
                <w:sz w:val="22"/>
                <w:szCs w:val="22"/>
              </w:rPr>
              <w:t>Adult Social Care (n=53) 68% agreed </w:t>
            </w:r>
            <w:r w:rsidRPr="007C4FD8">
              <w:rPr>
                <w:rStyle w:val="eop"/>
                <w:rFonts w:ascii="Arial" w:hAnsi="Arial" w:cs="Arial"/>
                <w:sz w:val="22"/>
                <w:szCs w:val="22"/>
              </w:rPr>
              <w:t> </w:t>
            </w:r>
          </w:p>
          <w:p w14:paraId="6C188BCF" w14:textId="451A2F65" w:rsidR="003F596D" w:rsidRPr="007C4FD8" w:rsidRDefault="003F596D" w:rsidP="00F63FCB">
            <w:pPr>
              <w:pStyle w:val="paragraph"/>
              <w:numPr>
                <w:ilvl w:val="0"/>
                <w:numId w:val="17"/>
              </w:numPr>
              <w:spacing w:before="0" w:beforeAutospacing="0" w:after="0" w:afterAutospacing="0"/>
              <w:ind w:left="360" w:firstLine="0"/>
              <w:textAlignment w:val="baseline"/>
              <w:rPr>
                <w:rFonts w:ascii="Arial" w:hAnsi="Arial" w:cs="Arial"/>
                <w:sz w:val="22"/>
                <w:szCs w:val="22"/>
              </w:rPr>
            </w:pPr>
            <w:r w:rsidRPr="007C4FD8">
              <w:rPr>
                <w:rStyle w:val="normaltextrun"/>
                <w:rFonts w:ascii="Arial" w:hAnsi="Arial" w:cs="Arial"/>
                <w:sz w:val="22"/>
                <w:szCs w:val="22"/>
              </w:rPr>
              <w:t>Primary Medical Services (n=53) 32% agreed </w:t>
            </w:r>
            <w:r w:rsidRPr="007C4FD8">
              <w:rPr>
                <w:rStyle w:val="eop"/>
                <w:rFonts w:ascii="Arial" w:hAnsi="Arial" w:cs="Arial"/>
                <w:sz w:val="22"/>
                <w:szCs w:val="22"/>
              </w:rPr>
              <w:t>  </w:t>
            </w:r>
          </w:p>
          <w:p w14:paraId="04B865D6" w14:textId="77777777" w:rsidR="003F596D" w:rsidRPr="007C4FD8" w:rsidRDefault="003F596D" w:rsidP="003F596D">
            <w:pPr>
              <w:pStyle w:val="paragraph"/>
              <w:numPr>
                <w:ilvl w:val="0"/>
                <w:numId w:val="18"/>
              </w:numPr>
              <w:spacing w:before="0" w:beforeAutospacing="0" w:after="0" w:afterAutospacing="0"/>
              <w:ind w:left="360" w:firstLine="0"/>
              <w:textAlignment w:val="baseline"/>
              <w:rPr>
                <w:rFonts w:ascii="Arial" w:hAnsi="Arial" w:cs="Arial"/>
                <w:sz w:val="22"/>
                <w:szCs w:val="22"/>
              </w:rPr>
            </w:pPr>
            <w:r w:rsidRPr="007C4FD8">
              <w:rPr>
                <w:rStyle w:val="normaltextrun"/>
                <w:rFonts w:ascii="Arial" w:hAnsi="Arial" w:cs="Arial"/>
                <w:sz w:val="22"/>
                <w:szCs w:val="22"/>
              </w:rPr>
              <w:t>Acute Services (n=53) 36% agreed</w:t>
            </w:r>
            <w:r w:rsidRPr="007C4FD8">
              <w:rPr>
                <w:rStyle w:val="eop"/>
                <w:rFonts w:ascii="Arial" w:hAnsi="Arial" w:cs="Arial"/>
                <w:sz w:val="22"/>
                <w:szCs w:val="22"/>
              </w:rPr>
              <w:t> </w:t>
            </w:r>
          </w:p>
          <w:p w14:paraId="36C3E0C6" w14:textId="77777777" w:rsidR="003F596D" w:rsidRPr="007C4FD8" w:rsidRDefault="003F596D" w:rsidP="008F312F">
            <w:pPr>
              <w:spacing w:line="264" w:lineRule="auto"/>
              <w:rPr>
                <w:rFonts w:ascii="Arial" w:hAnsi="Arial" w:cs="Arial"/>
                <w:color w:val="000000" w:themeColor="text1"/>
              </w:rPr>
            </w:pPr>
          </w:p>
          <w:p w14:paraId="1392E971" w14:textId="181423A3" w:rsidR="003F596D" w:rsidRPr="007C4FD8" w:rsidRDefault="003F596D" w:rsidP="008F312F">
            <w:pPr>
              <w:spacing w:line="264" w:lineRule="auto"/>
              <w:rPr>
                <w:rStyle w:val="normaltextrun"/>
                <w:rFonts w:ascii="Arial" w:hAnsi="Arial" w:cs="Arial"/>
                <w:color w:val="000000"/>
                <w:shd w:val="clear" w:color="auto" w:fill="FFFFFF"/>
              </w:rPr>
            </w:pPr>
            <w:r w:rsidRPr="007C4FD8">
              <w:rPr>
                <w:rStyle w:val="normaltextrun"/>
                <w:rFonts w:ascii="Arial" w:hAnsi="Arial" w:cs="Arial"/>
                <w:b/>
                <w:bCs/>
                <w:color w:val="000000"/>
                <w:shd w:val="clear" w:color="auto" w:fill="FFFFFF"/>
              </w:rPr>
              <w:t xml:space="preserve">82% </w:t>
            </w:r>
            <w:r w:rsidRPr="007C4FD8">
              <w:rPr>
                <w:rStyle w:val="normaltextrun"/>
                <w:rFonts w:ascii="Arial" w:hAnsi="Arial" w:cs="Arial"/>
                <w:color w:val="000000"/>
                <w:shd w:val="clear" w:color="auto" w:fill="FFFFFF"/>
              </w:rPr>
              <w:t xml:space="preserve">of services (n=17,768) say CQC maintains an </w:t>
            </w:r>
            <w:r w:rsidRPr="007C4FD8">
              <w:rPr>
                <w:rStyle w:val="findhit"/>
                <w:rFonts w:ascii="Arial" w:hAnsi="Arial" w:cs="Arial"/>
                <w:color w:val="000000"/>
                <w:shd w:val="clear" w:color="auto" w:fill="FFFFFF"/>
              </w:rPr>
              <w:t xml:space="preserve">up </w:t>
            </w:r>
            <w:r w:rsidRPr="007C4FD8">
              <w:rPr>
                <w:rStyle w:val="normaltextrun"/>
                <w:rFonts w:ascii="Arial" w:hAnsi="Arial" w:cs="Arial"/>
                <w:color w:val="000000"/>
                <w:shd w:val="clear" w:color="auto" w:fill="FFFFFF"/>
              </w:rPr>
              <w:t>to date understanding of quality at their service using a range of information (4% disagreed)</w:t>
            </w:r>
            <w:r w:rsidR="00EC6991">
              <w:rPr>
                <w:rStyle w:val="EndnoteReference"/>
                <w:rFonts w:ascii="Arial" w:hAnsi="Arial" w:cs="Arial"/>
                <w:color w:val="000000"/>
                <w:shd w:val="clear" w:color="auto" w:fill="FFFFFF"/>
              </w:rPr>
              <w:endnoteReference w:id="8"/>
            </w:r>
          </w:p>
          <w:p w14:paraId="061261E8" w14:textId="1062F0A7" w:rsidR="003F596D" w:rsidRPr="007C4FD8" w:rsidRDefault="00B24666" w:rsidP="008F312F">
            <w:pPr>
              <w:spacing w:line="264" w:lineRule="auto"/>
              <w:rPr>
                <w:rFonts w:ascii="Arial" w:hAnsi="Arial" w:cs="Arial"/>
                <w:color w:val="000000" w:themeColor="text1"/>
              </w:rPr>
            </w:pPr>
            <w:r w:rsidRPr="007C4FD8">
              <w:rPr>
                <w:rFonts w:ascii="Arial" w:hAnsi="Arial" w:cs="Arial"/>
                <w:color w:val="000000" w:themeColor="text1"/>
              </w:rPr>
              <w:t>N</w:t>
            </w:r>
            <w:r w:rsidR="003F596D" w:rsidRPr="007C4FD8">
              <w:rPr>
                <w:rFonts w:ascii="Arial" w:hAnsi="Arial" w:cs="Arial"/>
                <w:color w:val="000000" w:themeColor="text1"/>
              </w:rPr>
              <w:t>ot yet measured for operational colleagues.</w:t>
            </w:r>
          </w:p>
        </w:tc>
        <w:tc>
          <w:tcPr>
            <w:tcW w:w="1657" w:type="dxa"/>
            <w:shd w:val="clear" w:color="auto" w:fill="FCD2DB"/>
          </w:tcPr>
          <w:p w14:paraId="0A42AA32" w14:textId="0B45F7D9" w:rsidR="003F596D" w:rsidRPr="006E21A3" w:rsidRDefault="003F596D" w:rsidP="008F312F">
            <w:pPr>
              <w:spacing w:line="264" w:lineRule="auto"/>
              <w:rPr>
                <w:rFonts w:ascii="Arial" w:hAnsi="Arial" w:cs="Arial"/>
                <w:color w:val="000000" w:themeColor="text1"/>
                <w:sz w:val="24"/>
                <w:szCs w:val="24"/>
              </w:rPr>
            </w:pPr>
            <w:r>
              <w:rPr>
                <w:rFonts w:ascii="Arial" w:hAnsi="Arial" w:cs="Arial"/>
                <w:color w:val="000000" w:themeColor="text1"/>
                <w:sz w:val="24"/>
                <w:szCs w:val="24"/>
              </w:rPr>
              <w:t>Red</w:t>
            </w:r>
            <w:r w:rsidR="001D555F">
              <w:rPr>
                <w:rFonts w:ascii="Arial" w:hAnsi="Arial" w:cs="Arial"/>
                <w:color w:val="000000" w:themeColor="text1"/>
                <w:sz w:val="24"/>
                <w:szCs w:val="24"/>
              </w:rPr>
              <w:t xml:space="preserve"> (local stakeholders) </w:t>
            </w:r>
            <w:r>
              <w:rPr>
                <w:rFonts w:ascii="Arial" w:hAnsi="Arial" w:cs="Arial"/>
                <w:color w:val="000000" w:themeColor="text1"/>
                <w:sz w:val="24"/>
                <w:szCs w:val="24"/>
              </w:rPr>
              <w:t>/ too early</w:t>
            </w:r>
            <w:r w:rsidR="001D555F">
              <w:rPr>
                <w:rFonts w:ascii="Arial" w:hAnsi="Arial" w:cs="Arial"/>
                <w:color w:val="000000" w:themeColor="text1"/>
                <w:sz w:val="24"/>
                <w:szCs w:val="24"/>
              </w:rPr>
              <w:t xml:space="preserve"> (other groups)</w:t>
            </w:r>
          </w:p>
        </w:tc>
      </w:tr>
      <w:tr w:rsidR="003F596D" w:rsidRPr="006E21A3" w14:paraId="628EA129" w14:textId="77777777" w:rsidTr="62B52220">
        <w:trPr>
          <w:jc w:val="center"/>
        </w:trPr>
        <w:tc>
          <w:tcPr>
            <w:tcW w:w="2293" w:type="dxa"/>
          </w:tcPr>
          <w:p w14:paraId="0D9D609D" w14:textId="77777777" w:rsidR="003F596D" w:rsidRPr="006E21A3" w:rsidRDefault="003F596D" w:rsidP="008F312F">
            <w:pPr>
              <w:pStyle w:val="Heading1"/>
              <w:spacing w:line="264" w:lineRule="auto"/>
              <w:ind w:left="360"/>
              <w:outlineLvl w:val="0"/>
              <w:rPr>
                <w:rFonts w:ascii="Arial" w:hAnsi="Arial" w:cs="Arial"/>
                <w:b/>
                <w:bCs/>
                <w:color w:val="000000" w:themeColor="text1"/>
                <w:sz w:val="28"/>
                <w:szCs w:val="28"/>
              </w:rPr>
            </w:pPr>
            <w:r w:rsidRPr="006E21A3">
              <w:rPr>
                <w:rFonts w:ascii="Arial" w:hAnsi="Arial" w:cs="Arial"/>
                <w:b/>
                <w:bCs/>
                <w:color w:val="000000" w:themeColor="text1"/>
                <w:sz w:val="28"/>
                <w:szCs w:val="28"/>
              </w:rPr>
              <w:lastRenderedPageBreak/>
              <w:t>Equality Objective</w:t>
            </w:r>
          </w:p>
        </w:tc>
        <w:tc>
          <w:tcPr>
            <w:tcW w:w="1710" w:type="dxa"/>
          </w:tcPr>
          <w:p w14:paraId="699026CC" w14:textId="77777777" w:rsidR="003F596D" w:rsidRPr="006E21A3" w:rsidRDefault="003F596D" w:rsidP="008F312F">
            <w:pPr>
              <w:spacing w:line="264" w:lineRule="auto"/>
              <w:rPr>
                <w:rFonts w:ascii="Arial" w:hAnsi="Arial" w:cs="Arial"/>
                <w:color w:val="000000" w:themeColor="text1"/>
                <w:sz w:val="24"/>
                <w:szCs w:val="24"/>
              </w:rPr>
            </w:pPr>
            <w:r w:rsidRPr="006E21A3">
              <w:rPr>
                <w:rFonts w:ascii="Arial" w:hAnsi="Arial" w:cs="Arial"/>
                <w:b/>
                <w:bCs/>
                <w:color w:val="000000" w:themeColor="text1"/>
                <w:sz w:val="28"/>
                <w:szCs w:val="28"/>
              </w:rPr>
              <w:t>Reference</w:t>
            </w:r>
          </w:p>
        </w:tc>
        <w:tc>
          <w:tcPr>
            <w:tcW w:w="3242" w:type="dxa"/>
          </w:tcPr>
          <w:p w14:paraId="5A2D500D" w14:textId="77777777" w:rsidR="003F596D" w:rsidRPr="006E21A3" w:rsidRDefault="003F596D" w:rsidP="008F312F">
            <w:pPr>
              <w:spacing w:line="264" w:lineRule="auto"/>
              <w:rPr>
                <w:rFonts w:ascii="Arial" w:hAnsi="Arial" w:cs="Arial"/>
                <w:color w:val="000000" w:themeColor="text1"/>
                <w:sz w:val="24"/>
                <w:szCs w:val="24"/>
              </w:rPr>
            </w:pPr>
            <w:r w:rsidRPr="006E21A3">
              <w:rPr>
                <w:rFonts w:ascii="Arial" w:hAnsi="Arial" w:cs="Arial"/>
                <w:b/>
                <w:bCs/>
                <w:color w:val="000000" w:themeColor="text1"/>
                <w:sz w:val="28"/>
                <w:szCs w:val="28"/>
              </w:rPr>
              <w:t>Measures</w:t>
            </w:r>
          </w:p>
        </w:tc>
        <w:tc>
          <w:tcPr>
            <w:tcW w:w="6549" w:type="dxa"/>
          </w:tcPr>
          <w:p w14:paraId="1764EACD" w14:textId="77777777" w:rsidR="003F596D" w:rsidRPr="006E21A3" w:rsidRDefault="003F596D" w:rsidP="008F312F">
            <w:pPr>
              <w:spacing w:line="264" w:lineRule="auto"/>
              <w:rPr>
                <w:rFonts w:ascii="Arial" w:hAnsi="Arial" w:cs="Arial"/>
                <w:color w:val="000000" w:themeColor="text1"/>
                <w:sz w:val="24"/>
                <w:szCs w:val="24"/>
              </w:rPr>
            </w:pPr>
            <w:r w:rsidRPr="006E21A3">
              <w:rPr>
                <w:rFonts w:ascii="Arial" w:hAnsi="Arial" w:cs="Arial"/>
                <w:b/>
                <w:bCs/>
                <w:color w:val="000000" w:themeColor="text1"/>
                <w:sz w:val="28"/>
                <w:szCs w:val="28"/>
              </w:rPr>
              <w:t>Performance data</w:t>
            </w:r>
          </w:p>
        </w:tc>
        <w:tc>
          <w:tcPr>
            <w:tcW w:w="1657" w:type="dxa"/>
          </w:tcPr>
          <w:p w14:paraId="1590796A" w14:textId="77777777" w:rsidR="003F596D" w:rsidRPr="00612F79" w:rsidRDefault="003F596D" w:rsidP="008F312F">
            <w:pPr>
              <w:spacing w:line="264" w:lineRule="auto"/>
              <w:rPr>
                <w:rFonts w:ascii="Arial" w:hAnsi="Arial" w:cs="Arial"/>
                <w:b/>
                <w:bCs/>
                <w:color w:val="000000" w:themeColor="text1"/>
                <w:sz w:val="24"/>
                <w:szCs w:val="24"/>
              </w:rPr>
            </w:pPr>
            <w:r w:rsidRPr="00612F79">
              <w:rPr>
                <w:rFonts w:ascii="Arial" w:hAnsi="Arial" w:cs="Arial"/>
                <w:b/>
                <w:bCs/>
                <w:color w:val="000000" w:themeColor="text1"/>
                <w:sz w:val="24"/>
                <w:szCs w:val="24"/>
              </w:rPr>
              <w:t>RAG rating</w:t>
            </w:r>
          </w:p>
        </w:tc>
      </w:tr>
      <w:tr w:rsidR="003F596D" w:rsidRPr="006E21A3" w14:paraId="10A54965" w14:textId="77777777" w:rsidTr="62B52220">
        <w:trPr>
          <w:jc w:val="center"/>
        </w:trPr>
        <w:tc>
          <w:tcPr>
            <w:tcW w:w="2293" w:type="dxa"/>
            <w:vMerge w:val="restart"/>
          </w:tcPr>
          <w:p w14:paraId="14C990F1" w14:textId="77777777" w:rsidR="003F596D" w:rsidRPr="006E21A3" w:rsidRDefault="003F596D" w:rsidP="003F596D">
            <w:pPr>
              <w:pStyle w:val="Heading1"/>
              <w:numPr>
                <w:ilvl w:val="0"/>
                <w:numId w:val="15"/>
              </w:numPr>
              <w:spacing w:line="264" w:lineRule="auto"/>
              <w:outlineLvl w:val="0"/>
              <w:rPr>
                <w:rFonts w:ascii="Arial" w:hAnsi="Arial" w:cs="Arial"/>
                <w:b/>
                <w:bCs/>
                <w:color w:val="000000" w:themeColor="text1"/>
                <w:sz w:val="28"/>
                <w:szCs w:val="28"/>
              </w:rPr>
            </w:pPr>
            <w:r w:rsidRPr="006E21A3">
              <w:rPr>
                <w:rFonts w:ascii="Arial" w:hAnsi="Arial" w:cs="Arial"/>
                <w:b/>
                <w:bCs/>
                <w:color w:val="000000" w:themeColor="text1"/>
                <w:sz w:val="28"/>
                <w:szCs w:val="28"/>
              </w:rPr>
              <w:t>Working with others to improve equality of access, experience and outcomes</w:t>
            </w:r>
          </w:p>
          <w:p w14:paraId="13CA285F" w14:textId="77777777" w:rsidR="003F596D" w:rsidRPr="006E21A3" w:rsidRDefault="003F596D" w:rsidP="008F312F">
            <w:pPr>
              <w:spacing w:line="264" w:lineRule="auto"/>
              <w:rPr>
                <w:rFonts w:ascii="Arial" w:hAnsi="Arial" w:cs="Arial"/>
                <w:b/>
                <w:bCs/>
                <w:color w:val="000000" w:themeColor="text1"/>
                <w:sz w:val="24"/>
                <w:szCs w:val="24"/>
                <w:u w:val="single"/>
              </w:rPr>
            </w:pPr>
          </w:p>
        </w:tc>
        <w:tc>
          <w:tcPr>
            <w:tcW w:w="1710" w:type="dxa"/>
          </w:tcPr>
          <w:p w14:paraId="4D7B8E8A" w14:textId="77777777" w:rsidR="003F596D" w:rsidRPr="006E21A3" w:rsidRDefault="003F596D" w:rsidP="008F312F">
            <w:pPr>
              <w:spacing w:line="264" w:lineRule="auto"/>
              <w:rPr>
                <w:rFonts w:ascii="Arial" w:hAnsi="Arial" w:cs="Arial"/>
                <w:color w:val="000000" w:themeColor="text1"/>
                <w:sz w:val="24"/>
                <w:szCs w:val="24"/>
              </w:rPr>
            </w:pPr>
            <w:r w:rsidRPr="006E21A3">
              <w:rPr>
                <w:rFonts w:ascii="Arial" w:hAnsi="Arial" w:cs="Arial"/>
                <w:color w:val="000000" w:themeColor="text1"/>
                <w:sz w:val="24"/>
                <w:szCs w:val="24"/>
              </w:rPr>
              <w:t>3.1</w:t>
            </w:r>
          </w:p>
        </w:tc>
        <w:tc>
          <w:tcPr>
            <w:tcW w:w="3242" w:type="dxa"/>
          </w:tcPr>
          <w:p w14:paraId="18182FA8" w14:textId="77777777" w:rsidR="003F596D" w:rsidRPr="003A5BB6" w:rsidRDefault="003F596D" w:rsidP="008F312F">
            <w:pPr>
              <w:spacing w:line="264" w:lineRule="auto"/>
              <w:rPr>
                <w:rFonts w:ascii="Arial" w:hAnsi="Arial" w:cs="Arial"/>
                <w:color w:val="000000" w:themeColor="text1"/>
                <w:sz w:val="24"/>
                <w:szCs w:val="24"/>
              </w:rPr>
            </w:pPr>
            <w:r w:rsidRPr="003A5BB6">
              <w:rPr>
                <w:rFonts w:ascii="Arial" w:hAnsi="Arial" w:cs="Arial"/>
                <w:color w:val="000000" w:themeColor="text1"/>
                <w:sz w:val="24"/>
                <w:szCs w:val="24"/>
              </w:rPr>
              <w:t xml:space="preserve">Local stakeholders say our work has </w:t>
            </w:r>
            <w:proofErr w:type="gramStart"/>
            <w:r w:rsidRPr="003A5BB6">
              <w:rPr>
                <w:rFonts w:ascii="Arial" w:hAnsi="Arial" w:cs="Arial"/>
                <w:color w:val="000000" w:themeColor="text1"/>
                <w:sz w:val="24"/>
                <w:szCs w:val="24"/>
              </w:rPr>
              <w:t>sufficient</w:t>
            </w:r>
            <w:proofErr w:type="gramEnd"/>
            <w:r w:rsidRPr="003A5BB6">
              <w:rPr>
                <w:rFonts w:ascii="Arial" w:hAnsi="Arial" w:cs="Arial"/>
                <w:color w:val="000000" w:themeColor="text1"/>
                <w:sz w:val="24"/>
                <w:szCs w:val="24"/>
              </w:rPr>
              <w:t xml:space="preserve"> focus on reducing inequalities in access, experience and outcomes for people using services</w:t>
            </w:r>
          </w:p>
        </w:tc>
        <w:tc>
          <w:tcPr>
            <w:tcW w:w="6549" w:type="dxa"/>
          </w:tcPr>
          <w:p w14:paraId="72E90C9B" w14:textId="119025DE" w:rsidR="003F596D" w:rsidRPr="006E21A3" w:rsidRDefault="003F596D" w:rsidP="008F312F">
            <w:pPr>
              <w:spacing w:line="264" w:lineRule="auto"/>
              <w:rPr>
                <w:rFonts w:ascii="Arial" w:hAnsi="Arial" w:cs="Arial"/>
                <w:color w:val="000000" w:themeColor="text1"/>
                <w:sz w:val="24"/>
                <w:szCs w:val="24"/>
              </w:rPr>
            </w:pPr>
            <w:r w:rsidRPr="00E06A99">
              <w:rPr>
                <w:rFonts w:ascii="Arial" w:hAnsi="Arial" w:cs="Arial"/>
                <w:b/>
                <w:bCs/>
                <w:color w:val="000000" w:themeColor="text1"/>
                <w:sz w:val="24"/>
                <w:szCs w:val="24"/>
              </w:rPr>
              <w:t>78%</w:t>
            </w:r>
            <w:r w:rsidRPr="006E21A3">
              <w:rPr>
                <w:rFonts w:ascii="Arial" w:hAnsi="Arial" w:cs="Arial"/>
                <w:color w:val="000000" w:themeColor="text1"/>
                <w:sz w:val="24"/>
                <w:szCs w:val="24"/>
              </w:rPr>
              <w:t xml:space="preserve"> of services </w:t>
            </w:r>
            <w:r>
              <w:rPr>
                <w:rStyle w:val="normaltextrun"/>
                <w:rFonts w:ascii="Arial" w:hAnsi="Arial" w:cs="Arial"/>
                <w:color w:val="000000"/>
                <w:shd w:val="clear" w:color="auto" w:fill="FFFFFF"/>
              </w:rPr>
              <w:t xml:space="preserve">(n=17769) </w:t>
            </w:r>
            <w:r w:rsidRPr="006E21A3">
              <w:rPr>
                <w:rFonts w:ascii="Arial" w:hAnsi="Arial" w:cs="Arial"/>
                <w:color w:val="000000" w:themeColor="text1"/>
                <w:sz w:val="24"/>
                <w:szCs w:val="24"/>
              </w:rPr>
              <w:t>agree with this</w:t>
            </w:r>
            <w:r>
              <w:rPr>
                <w:rFonts w:ascii="Arial" w:hAnsi="Arial" w:cs="Arial"/>
                <w:color w:val="000000" w:themeColor="text1"/>
                <w:sz w:val="24"/>
                <w:szCs w:val="24"/>
              </w:rPr>
              <w:t xml:space="preserve"> </w:t>
            </w:r>
            <w:r>
              <w:rPr>
                <w:rStyle w:val="normaltextrun"/>
                <w:rFonts w:ascii="Arial" w:hAnsi="Arial" w:cs="Arial"/>
                <w:color w:val="000000"/>
                <w:shd w:val="clear" w:color="auto" w:fill="FFFFFF"/>
              </w:rPr>
              <w:t>(17% of services neither agreed nor disagreed</w:t>
            </w:r>
            <w:r w:rsidR="003A5BB6">
              <w:rPr>
                <w:rStyle w:val="EndnoteReference"/>
                <w:rFonts w:ascii="Arial" w:hAnsi="Arial" w:cs="Arial"/>
                <w:color w:val="000000"/>
                <w:shd w:val="clear" w:color="auto" w:fill="FFFFFF"/>
              </w:rPr>
              <w:endnoteReference w:id="9"/>
            </w:r>
            <w:r>
              <w:rPr>
                <w:rStyle w:val="normaltextrun"/>
                <w:rFonts w:ascii="Arial" w:hAnsi="Arial" w:cs="Arial"/>
                <w:color w:val="000000"/>
                <w:shd w:val="clear" w:color="auto" w:fill="FFFFFF"/>
              </w:rPr>
              <w:t>)</w:t>
            </w:r>
            <w:r w:rsidRPr="006E21A3">
              <w:rPr>
                <w:rFonts w:ascii="Arial" w:hAnsi="Arial" w:cs="Arial"/>
                <w:color w:val="000000" w:themeColor="text1"/>
                <w:sz w:val="24"/>
                <w:szCs w:val="24"/>
              </w:rPr>
              <w:t xml:space="preserve">. Information not collected yet for local stakeholders. </w:t>
            </w:r>
          </w:p>
        </w:tc>
        <w:tc>
          <w:tcPr>
            <w:tcW w:w="1657" w:type="dxa"/>
            <w:shd w:val="clear" w:color="auto" w:fill="C5E0B3" w:themeFill="accent6" w:themeFillTint="66"/>
          </w:tcPr>
          <w:p w14:paraId="71958892" w14:textId="562A6974" w:rsidR="003F596D" w:rsidRPr="006E21A3" w:rsidRDefault="003F596D" w:rsidP="008F312F">
            <w:pPr>
              <w:spacing w:line="264" w:lineRule="auto"/>
              <w:rPr>
                <w:rFonts w:ascii="Arial" w:hAnsi="Arial" w:cs="Arial"/>
                <w:color w:val="000000" w:themeColor="text1"/>
                <w:sz w:val="24"/>
                <w:szCs w:val="24"/>
              </w:rPr>
            </w:pPr>
            <w:r>
              <w:rPr>
                <w:rFonts w:ascii="Arial" w:hAnsi="Arial" w:cs="Arial"/>
                <w:color w:val="000000" w:themeColor="text1"/>
                <w:sz w:val="24"/>
                <w:szCs w:val="24"/>
              </w:rPr>
              <w:t>Green</w:t>
            </w:r>
            <w:r w:rsidR="001D555F">
              <w:rPr>
                <w:rFonts w:ascii="Arial" w:hAnsi="Arial" w:cs="Arial"/>
                <w:color w:val="000000" w:themeColor="text1"/>
                <w:sz w:val="24"/>
                <w:szCs w:val="24"/>
              </w:rPr>
              <w:t xml:space="preserve"> (services)</w:t>
            </w:r>
            <w:r>
              <w:rPr>
                <w:rFonts w:ascii="Arial" w:hAnsi="Arial" w:cs="Arial"/>
                <w:color w:val="000000" w:themeColor="text1"/>
                <w:sz w:val="24"/>
                <w:szCs w:val="24"/>
              </w:rPr>
              <w:t>/ Too early</w:t>
            </w:r>
            <w:r w:rsidR="001D555F">
              <w:rPr>
                <w:rFonts w:ascii="Arial" w:hAnsi="Arial" w:cs="Arial"/>
                <w:color w:val="000000" w:themeColor="text1"/>
                <w:sz w:val="24"/>
                <w:szCs w:val="24"/>
              </w:rPr>
              <w:t xml:space="preserve"> (other groups)</w:t>
            </w:r>
          </w:p>
        </w:tc>
      </w:tr>
      <w:tr w:rsidR="003F596D" w:rsidRPr="006E21A3" w14:paraId="4B3F5284" w14:textId="77777777" w:rsidTr="62B52220">
        <w:trPr>
          <w:jc w:val="center"/>
        </w:trPr>
        <w:tc>
          <w:tcPr>
            <w:tcW w:w="2293" w:type="dxa"/>
            <w:vMerge/>
          </w:tcPr>
          <w:p w14:paraId="2FFD6103" w14:textId="77777777" w:rsidR="003F596D" w:rsidRPr="006E21A3" w:rsidRDefault="003F596D" w:rsidP="008F312F">
            <w:pPr>
              <w:spacing w:line="264" w:lineRule="auto"/>
              <w:rPr>
                <w:rFonts w:ascii="Arial" w:hAnsi="Arial" w:cs="Arial"/>
                <w:b/>
                <w:bCs/>
                <w:color w:val="000000" w:themeColor="text1"/>
                <w:sz w:val="24"/>
                <w:szCs w:val="24"/>
                <w:u w:val="single"/>
              </w:rPr>
            </w:pPr>
          </w:p>
        </w:tc>
        <w:tc>
          <w:tcPr>
            <w:tcW w:w="1710" w:type="dxa"/>
          </w:tcPr>
          <w:p w14:paraId="267F8835" w14:textId="77777777" w:rsidR="003F596D" w:rsidRPr="006E21A3" w:rsidRDefault="003F596D" w:rsidP="008F312F">
            <w:pPr>
              <w:spacing w:line="264" w:lineRule="auto"/>
              <w:rPr>
                <w:rFonts w:ascii="Arial" w:hAnsi="Arial" w:cs="Arial"/>
                <w:color w:val="000000" w:themeColor="text1"/>
                <w:sz w:val="24"/>
                <w:szCs w:val="24"/>
              </w:rPr>
            </w:pPr>
            <w:r w:rsidRPr="006E21A3">
              <w:rPr>
                <w:rFonts w:ascii="Arial" w:hAnsi="Arial" w:cs="Arial"/>
                <w:color w:val="000000" w:themeColor="text1"/>
                <w:sz w:val="24"/>
                <w:szCs w:val="24"/>
              </w:rPr>
              <w:t>3.2</w:t>
            </w:r>
          </w:p>
        </w:tc>
        <w:tc>
          <w:tcPr>
            <w:tcW w:w="3242" w:type="dxa"/>
          </w:tcPr>
          <w:p w14:paraId="0599241C" w14:textId="77777777" w:rsidR="003F596D" w:rsidRPr="006E21A3" w:rsidRDefault="003F596D" w:rsidP="008F312F">
            <w:pPr>
              <w:spacing w:line="264" w:lineRule="auto"/>
              <w:rPr>
                <w:rFonts w:ascii="Arial" w:hAnsi="Arial" w:cs="Arial"/>
                <w:color w:val="000000" w:themeColor="text1"/>
                <w:sz w:val="24"/>
                <w:szCs w:val="24"/>
              </w:rPr>
            </w:pPr>
            <w:r w:rsidRPr="006E21A3">
              <w:rPr>
                <w:rFonts w:ascii="Arial" w:eastAsia="Times New Roman" w:hAnsi="Arial" w:cs="Arial"/>
                <w:color w:val="000000" w:themeColor="text1"/>
                <w:spacing w:val="-5"/>
                <w:sz w:val="24"/>
                <w:szCs w:val="24"/>
                <w:lang w:eastAsia="en-GB"/>
              </w:rPr>
              <w:t>V</w:t>
            </w:r>
            <w:r w:rsidRPr="00A44CFF">
              <w:rPr>
                <w:rFonts w:ascii="Arial" w:eastAsia="Times New Roman" w:hAnsi="Arial" w:cs="Arial"/>
                <w:color w:val="000000" w:themeColor="text1"/>
                <w:spacing w:val="-5"/>
                <w:sz w:val="24"/>
                <w:szCs w:val="24"/>
                <w:lang w:eastAsia="en-GB"/>
              </w:rPr>
              <w:t>olume of feedback about people's experiences of care from our strategic partners and stakeholders that we can act on</w:t>
            </w:r>
          </w:p>
        </w:tc>
        <w:tc>
          <w:tcPr>
            <w:tcW w:w="6549" w:type="dxa"/>
          </w:tcPr>
          <w:p w14:paraId="5F0B0B41" w14:textId="77777777" w:rsidR="003F596D" w:rsidRPr="006E21A3" w:rsidRDefault="003F596D" w:rsidP="008F312F">
            <w:pPr>
              <w:spacing w:line="264" w:lineRule="auto"/>
              <w:rPr>
                <w:rFonts w:ascii="Arial" w:hAnsi="Arial" w:cs="Arial"/>
                <w:color w:val="000000" w:themeColor="text1"/>
                <w:sz w:val="24"/>
                <w:szCs w:val="24"/>
              </w:rPr>
            </w:pPr>
            <w:r w:rsidRPr="006E21A3">
              <w:rPr>
                <w:rFonts w:ascii="Arial" w:hAnsi="Arial" w:cs="Arial"/>
                <w:color w:val="000000" w:themeColor="text1"/>
                <w:sz w:val="24"/>
                <w:szCs w:val="24"/>
              </w:rPr>
              <w:t>We are not measuring this yet</w:t>
            </w:r>
          </w:p>
        </w:tc>
        <w:tc>
          <w:tcPr>
            <w:tcW w:w="1657" w:type="dxa"/>
            <w:shd w:val="clear" w:color="auto" w:fill="E7E6E6" w:themeFill="background2"/>
          </w:tcPr>
          <w:p w14:paraId="45BBA896" w14:textId="77777777" w:rsidR="003F596D" w:rsidRPr="006E21A3" w:rsidRDefault="003F596D" w:rsidP="008F312F">
            <w:pPr>
              <w:spacing w:line="264" w:lineRule="auto"/>
              <w:rPr>
                <w:rFonts w:ascii="Arial" w:hAnsi="Arial" w:cs="Arial"/>
                <w:color w:val="000000" w:themeColor="text1"/>
                <w:sz w:val="24"/>
                <w:szCs w:val="24"/>
              </w:rPr>
            </w:pPr>
            <w:r>
              <w:rPr>
                <w:rFonts w:ascii="Arial" w:hAnsi="Arial" w:cs="Arial"/>
                <w:color w:val="000000" w:themeColor="text1"/>
                <w:sz w:val="24"/>
                <w:szCs w:val="24"/>
              </w:rPr>
              <w:t>Too early</w:t>
            </w:r>
          </w:p>
        </w:tc>
      </w:tr>
      <w:tr w:rsidR="003F596D" w:rsidRPr="006E21A3" w14:paraId="3892C850" w14:textId="77777777" w:rsidTr="62B52220">
        <w:trPr>
          <w:trHeight w:val="1729"/>
          <w:jc w:val="center"/>
        </w:trPr>
        <w:tc>
          <w:tcPr>
            <w:tcW w:w="2293" w:type="dxa"/>
            <w:vMerge/>
          </w:tcPr>
          <w:p w14:paraId="574D6B7E" w14:textId="77777777" w:rsidR="003F596D" w:rsidRPr="006E21A3" w:rsidRDefault="003F596D" w:rsidP="008F312F">
            <w:pPr>
              <w:spacing w:line="264" w:lineRule="auto"/>
              <w:rPr>
                <w:rFonts w:ascii="Arial" w:hAnsi="Arial" w:cs="Arial"/>
                <w:b/>
                <w:bCs/>
                <w:color w:val="000000" w:themeColor="text1"/>
                <w:sz w:val="24"/>
                <w:szCs w:val="24"/>
                <w:u w:val="single"/>
              </w:rPr>
            </w:pPr>
          </w:p>
        </w:tc>
        <w:tc>
          <w:tcPr>
            <w:tcW w:w="1710" w:type="dxa"/>
          </w:tcPr>
          <w:p w14:paraId="50219CEF" w14:textId="77777777" w:rsidR="003F596D" w:rsidRPr="006E21A3" w:rsidRDefault="003F596D" w:rsidP="008F312F">
            <w:pPr>
              <w:spacing w:line="264" w:lineRule="auto"/>
              <w:rPr>
                <w:rFonts w:ascii="Arial" w:hAnsi="Arial" w:cs="Arial"/>
                <w:color w:val="000000" w:themeColor="text1"/>
                <w:sz w:val="24"/>
                <w:szCs w:val="24"/>
              </w:rPr>
            </w:pPr>
            <w:r w:rsidRPr="006E21A3">
              <w:rPr>
                <w:rFonts w:ascii="Arial" w:hAnsi="Arial" w:cs="Arial"/>
                <w:color w:val="000000" w:themeColor="text1"/>
                <w:sz w:val="24"/>
                <w:szCs w:val="24"/>
              </w:rPr>
              <w:t>3.3</w:t>
            </w:r>
          </w:p>
        </w:tc>
        <w:tc>
          <w:tcPr>
            <w:tcW w:w="3242" w:type="dxa"/>
          </w:tcPr>
          <w:p w14:paraId="348E66B3" w14:textId="77777777" w:rsidR="003F596D" w:rsidRPr="00A44CFF" w:rsidRDefault="003F596D" w:rsidP="008F312F">
            <w:pPr>
              <w:spacing w:line="264" w:lineRule="auto"/>
              <w:rPr>
                <w:rFonts w:ascii="Arial" w:eastAsia="Times New Roman" w:hAnsi="Arial" w:cs="Arial"/>
                <w:color w:val="000000" w:themeColor="text1"/>
                <w:spacing w:val="-5"/>
                <w:sz w:val="24"/>
                <w:szCs w:val="24"/>
                <w:lang w:eastAsia="en-GB"/>
              </w:rPr>
            </w:pPr>
            <w:r w:rsidRPr="00A44CFF">
              <w:rPr>
                <w:rFonts w:ascii="Arial" w:eastAsia="Times New Roman" w:hAnsi="Arial" w:cs="Arial"/>
                <w:color w:val="000000" w:themeColor="text1"/>
                <w:spacing w:val="-5"/>
                <w:sz w:val="24"/>
                <w:szCs w:val="24"/>
                <w:lang w:eastAsia="en-GB"/>
              </w:rPr>
              <w:t>The number of people, services and local stakeholders who say we act quickly where services fail to improve safety</w:t>
            </w:r>
          </w:p>
        </w:tc>
        <w:tc>
          <w:tcPr>
            <w:tcW w:w="6549" w:type="dxa"/>
          </w:tcPr>
          <w:p w14:paraId="5606ADC1" w14:textId="2E0606B6" w:rsidR="003F596D" w:rsidRPr="0067008B" w:rsidRDefault="003F596D" w:rsidP="006D3A82">
            <w:pPr>
              <w:pStyle w:val="paragraph"/>
              <w:spacing w:before="0" w:beforeAutospacing="0" w:after="0" w:afterAutospacing="0" w:line="264" w:lineRule="auto"/>
              <w:textAlignment w:val="baseline"/>
              <w:rPr>
                <w:rFonts w:ascii="Segoe UI" w:hAnsi="Segoe UI" w:cs="Segoe UI"/>
                <w:sz w:val="18"/>
                <w:szCs w:val="18"/>
              </w:rPr>
            </w:pPr>
            <w:r w:rsidRPr="00E06A99">
              <w:rPr>
                <w:rFonts w:ascii="Arial" w:hAnsi="Arial" w:cs="Arial"/>
                <w:b/>
                <w:bCs/>
                <w:color w:val="000000" w:themeColor="text1"/>
                <w:spacing w:val="-5"/>
              </w:rPr>
              <w:t>52%</w:t>
            </w:r>
            <w:r w:rsidRPr="006D3A82">
              <w:rPr>
                <w:rFonts w:ascii="Arial" w:hAnsi="Arial" w:cs="Arial"/>
                <w:color w:val="000000" w:themeColor="text1"/>
                <w:spacing w:val="-5"/>
              </w:rPr>
              <w:t xml:space="preserve"> of the public that are aware of CQC </w:t>
            </w:r>
            <w:r w:rsidR="006D3A82">
              <w:rPr>
                <w:rStyle w:val="EndnoteReference"/>
                <w:rFonts w:ascii="Arial" w:hAnsi="Arial" w:cs="Arial"/>
                <w:color w:val="000000" w:themeColor="text1"/>
                <w:spacing w:val="-5"/>
              </w:rPr>
              <w:endnoteReference w:id="10"/>
            </w:r>
            <w:r w:rsidRPr="006D3A82">
              <w:rPr>
                <w:rStyle w:val="normaltextrun"/>
                <w:rFonts w:ascii="Arial" w:hAnsi="Arial" w:cs="Arial"/>
              </w:rPr>
              <w:t>(n=589)</w:t>
            </w:r>
            <w:r w:rsidRPr="006D3A82">
              <w:rPr>
                <w:rFonts w:ascii="Arial" w:hAnsi="Arial" w:cs="Arial"/>
                <w:color w:val="000000" w:themeColor="text1"/>
                <w:spacing w:val="-5"/>
              </w:rPr>
              <w:t xml:space="preserve">, </w:t>
            </w:r>
            <w:r w:rsidRPr="00E06A99">
              <w:rPr>
                <w:rFonts w:ascii="Arial" w:hAnsi="Arial" w:cs="Arial"/>
                <w:b/>
                <w:bCs/>
                <w:color w:val="000000" w:themeColor="text1"/>
                <w:spacing w:val="-5"/>
              </w:rPr>
              <w:t>72%</w:t>
            </w:r>
            <w:r w:rsidRPr="006D3A82">
              <w:rPr>
                <w:rFonts w:ascii="Arial" w:hAnsi="Arial" w:cs="Arial"/>
                <w:color w:val="000000" w:themeColor="text1"/>
                <w:spacing w:val="-5"/>
              </w:rPr>
              <w:t xml:space="preserve"> of services </w:t>
            </w:r>
            <w:r w:rsidR="006D3A82">
              <w:rPr>
                <w:rStyle w:val="EndnoteReference"/>
                <w:rFonts w:ascii="Arial" w:hAnsi="Arial" w:cs="Arial"/>
                <w:color w:val="000000" w:themeColor="text1"/>
                <w:spacing w:val="-5"/>
              </w:rPr>
              <w:endnoteReference w:id="11"/>
            </w:r>
            <w:r w:rsidRPr="006D3A82">
              <w:rPr>
                <w:rStyle w:val="normaltextrun"/>
                <w:rFonts w:ascii="Arial" w:hAnsi="Arial" w:cs="Arial"/>
              </w:rPr>
              <w:t>(n=17,723)</w:t>
            </w:r>
            <w:r w:rsidRPr="006D3A82">
              <w:rPr>
                <w:rStyle w:val="normaltextrun"/>
              </w:rPr>
              <w:t xml:space="preserve"> </w:t>
            </w:r>
            <w:r w:rsidRPr="00E06A99">
              <w:rPr>
                <w:rFonts w:ascii="Arial" w:hAnsi="Arial" w:cs="Arial"/>
                <w:color w:val="000000" w:themeColor="text1"/>
                <w:spacing w:val="-5"/>
              </w:rPr>
              <w:t>and</w:t>
            </w:r>
            <w:r w:rsidRPr="00E06A99">
              <w:rPr>
                <w:rFonts w:ascii="Arial" w:hAnsi="Arial" w:cs="Arial"/>
                <w:b/>
                <w:bCs/>
                <w:color w:val="000000" w:themeColor="text1"/>
                <w:spacing w:val="-5"/>
              </w:rPr>
              <w:t xml:space="preserve"> 66%</w:t>
            </w:r>
            <w:r w:rsidRPr="006D3A82">
              <w:rPr>
                <w:rFonts w:ascii="Arial" w:hAnsi="Arial" w:cs="Arial"/>
                <w:color w:val="000000" w:themeColor="text1"/>
                <w:spacing w:val="-5"/>
              </w:rPr>
              <w:t xml:space="preserve"> of local stakeholder survey respondents </w:t>
            </w:r>
            <w:r w:rsidRPr="006D3A82">
              <w:rPr>
                <w:rStyle w:val="normaltextrun"/>
                <w:rFonts w:ascii="Arial" w:hAnsi="Arial" w:cs="Arial"/>
              </w:rPr>
              <w:t>(n=53)</w:t>
            </w:r>
            <w:r w:rsidR="00E06A99">
              <w:rPr>
                <w:rStyle w:val="EndnoteReference"/>
                <w:rFonts w:ascii="Arial" w:hAnsi="Arial" w:cs="Arial"/>
              </w:rPr>
              <w:endnoteReference w:id="12"/>
            </w:r>
            <w:r w:rsidRPr="006D3A82">
              <w:rPr>
                <w:rStyle w:val="normaltextrun"/>
                <w:rFonts w:ascii="Arial" w:hAnsi="Arial" w:cs="Arial"/>
              </w:rPr>
              <w:t xml:space="preserve"> </w:t>
            </w:r>
            <w:r w:rsidRPr="006D3A82">
              <w:rPr>
                <w:rFonts w:ascii="Arial" w:hAnsi="Arial" w:cs="Arial"/>
                <w:color w:val="000000" w:themeColor="text1"/>
                <w:spacing w:val="-5"/>
              </w:rPr>
              <w:t xml:space="preserve">say we act quickly where services fail to improve safety </w:t>
            </w:r>
            <w:r w:rsidRPr="006D3A82">
              <w:rPr>
                <w:rStyle w:val="normaltextrun"/>
                <w:rFonts w:ascii="Arial" w:hAnsi="Arial" w:cs="Arial"/>
              </w:rPr>
              <w:t>(3% of services and 19% of local stakeholders disagreed)</w:t>
            </w:r>
            <w:r w:rsidRPr="006D3A82">
              <w:rPr>
                <w:rFonts w:ascii="Arial" w:hAnsi="Arial" w:cs="Arial"/>
                <w:color w:val="000000" w:themeColor="text1"/>
                <w:spacing w:val="-5"/>
              </w:rPr>
              <w:t>. Of the public, those that have chosen a care home, those aged 55+ were more likely to have a negative perception</w:t>
            </w:r>
            <w:r w:rsidRPr="006E21A3">
              <w:rPr>
                <w:rFonts w:ascii="Arial" w:hAnsi="Arial" w:cs="Arial"/>
                <w:color w:val="000000" w:themeColor="text1"/>
                <w:spacing w:val="-5"/>
              </w:rPr>
              <w:t xml:space="preserve">. </w:t>
            </w:r>
          </w:p>
        </w:tc>
        <w:tc>
          <w:tcPr>
            <w:tcW w:w="1657" w:type="dxa"/>
            <w:shd w:val="clear" w:color="auto" w:fill="FFC000" w:themeFill="accent4"/>
          </w:tcPr>
          <w:p w14:paraId="59449EF3" w14:textId="77777777" w:rsidR="003F596D" w:rsidRDefault="003F596D" w:rsidP="008F312F">
            <w:pPr>
              <w:spacing w:after="120" w:line="264" w:lineRule="auto"/>
              <w:rPr>
                <w:rFonts w:ascii="Arial" w:eastAsia="Times New Roman" w:hAnsi="Arial" w:cs="Arial"/>
                <w:color w:val="000000" w:themeColor="text1"/>
                <w:spacing w:val="-5"/>
                <w:sz w:val="24"/>
                <w:szCs w:val="24"/>
                <w:lang w:eastAsia="en-GB"/>
              </w:rPr>
            </w:pPr>
            <w:r>
              <w:rPr>
                <w:rFonts w:ascii="Arial" w:eastAsia="Times New Roman" w:hAnsi="Arial" w:cs="Arial"/>
                <w:color w:val="000000" w:themeColor="text1"/>
                <w:spacing w:val="-5"/>
                <w:sz w:val="24"/>
                <w:szCs w:val="24"/>
                <w:lang w:eastAsia="en-GB"/>
              </w:rPr>
              <w:t>Amber</w:t>
            </w:r>
          </w:p>
        </w:tc>
      </w:tr>
      <w:tr w:rsidR="003F596D" w:rsidRPr="006E21A3" w14:paraId="679E836B" w14:textId="77777777" w:rsidTr="62B52220">
        <w:trPr>
          <w:trHeight w:val="1729"/>
          <w:jc w:val="center"/>
        </w:trPr>
        <w:tc>
          <w:tcPr>
            <w:tcW w:w="2293" w:type="dxa"/>
            <w:vMerge/>
          </w:tcPr>
          <w:p w14:paraId="721B7E73" w14:textId="77777777" w:rsidR="003F596D" w:rsidRPr="006E21A3" w:rsidRDefault="003F596D" w:rsidP="008F312F">
            <w:pPr>
              <w:spacing w:line="264" w:lineRule="auto"/>
              <w:rPr>
                <w:rFonts w:ascii="Arial" w:hAnsi="Arial" w:cs="Arial"/>
                <w:b/>
                <w:bCs/>
                <w:color w:val="000000" w:themeColor="text1"/>
                <w:sz w:val="24"/>
                <w:szCs w:val="24"/>
                <w:u w:val="single"/>
              </w:rPr>
            </w:pPr>
          </w:p>
        </w:tc>
        <w:tc>
          <w:tcPr>
            <w:tcW w:w="1710" w:type="dxa"/>
          </w:tcPr>
          <w:p w14:paraId="23CEF65E" w14:textId="77777777" w:rsidR="003F596D" w:rsidRPr="006E21A3" w:rsidRDefault="003F596D" w:rsidP="008F312F">
            <w:pPr>
              <w:spacing w:line="264" w:lineRule="auto"/>
              <w:rPr>
                <w:rFonts w:ascii="Arial" w:hAnsi="Arial" w:cs="Arial"/>
                <w:color w:val="000000" w:themeColor="text1"/>
                <w:sz w:val="24"/>
                <w:szCs w:val="24"/>
              </w:rPr>
            </w:pPr>
            <w:r w:rsidRPr="006E21A3">
              <w:rPr>
                <w:rFonts w:ascii="Arial" w:hAnsi="Arial" w:cs="Arial"/>
                <w:color w:val="000000" w:themeColor="text1"/>
                <w:sz w:val="24"/>
                <w:szCs w:val="24"/>
              </w:rPr>
              <w:t>3.4</w:t>
            </w:r>
          </w:p>
        </w:tc>
        <w:tc>
          <w:tcPr>
            <w:tcW w:w="3242" w:type="dxa"/>
          </w:tcPr>
          <w:p w14:paraId="55CE3FE6" w14:textId="7A9DE951" w:rsidR="003F596D" w:rsidRPr="006E21A3" w:rsidRDefault="003F596D" w:rsidP="008F312F">
            <w:pPr>
              <w:spacing w:line="264" w:lineRule="auto"/>
              <w:rPr>
                <w:rFonts w:ascii="Arial" w:hAnsi="Arial" w:cs="Arial"/>
                <w:color w:val="000000" w:themeColor="text1"/>
                <w:sz w:val="24"/>
                <w:szCs w:val="24"/>
              </w:rPr>
            </w:pPr>
            <w:r w:rsidRPr="006E21A3">
              <w:rPr>
                <w:rFonts w:ascii="Arial" w:eastAsia="Times New Roman" w:hAnsi="Arial" w:cs="Arial"/>
                <w:color w:val="000000" w:themeColor="text1"/>
                <w:spacing w:val="-5"/>
                <w:sz w:val="24"/>
                <w:szCs w:val="24"/>
                <w:lang w:eastAsia="en-GB"/>
              </w:rPr>
              <w:t>S</w:t>
            </w:r>
            <w:r w:rsidRPr="00A44CFF">
              <w:rPr>
                <w:rFonts w:ascii="Arial" w:eastAsia="Times New Roman" w:hAnsi="Arial" w:cs="Arial"/>
                <w:color w:val="000000" w:themeColor="text1"/>
                <w:spacing w:val="-5"/>
                <w:sz w:val="24"/>
                <w:szCs w:val="24"/>
                <w:lang w:eastAsia="en-GB"/>
              </w:rPr>
              <w:t>trategic partners and other stakeholders say they have taken action to address safety concerns following information we have shared with them from our regulatory activities.</w:t>
            </w:r>
          </w:p>
        </w:tc>
        <w:tc>
          <w:tcPr>
            <w:tcW w:w="6549" w:type="dxa"/>
          </w:tcPr>
          <w:p w14:paraId="64764CE5" w14:textId="74CFA576" w:rsidR="003F596D" w:rsidRPr="0067008B" w:rsidRDefault="003F596D" w:rsidP="008F312F">
            <w:pPr>
              <w:spacing w:after="120" w:line="264" w:lineRule="auto"/>
              <w:rPr>
                <w:rFonts w:ascii="Arial" w:hAnsi="Arial" w:cs="Arial"/>
                <w:color w:val="000000" w:themeColor="text1"/>
                <w:sz w:val="24"/>
                <w:szCs w:val="24"/>
              </w:rPr>
            </w:pPr>
            <w:r w:rsidRPr="00E06A99">
              <w:rPr>
                <w:rFonts w:ascii="Arial" w:hAnsi="Arial" w:cs="Arial"/>
                <w:b/>
                <w:bCs/>
                <w:color w:val="000000" w:themeColor="text1"/>
                <w:sz w:val="24"/>
                <w:szCs w:val="24"/>
              </w:rPr>
              <w:t>74%</w:t>
            </w:r>
            <w:r w:rsidRPr="006E21A3">
              <w:rPr>
                <w:rFonts w:ascii="Arial" w:hAnsi="Arial" w:cs="Arial"/>
                <w:color w:val="000000" w:themeColor="text1"/>
                <w:sz w:val="24"/>
                <w:szCs w:val="24"/>
              </w:rPr>
              <w:t xml:space="preserve"> of our strategic partners and other stakeholder</w:t>
            </w:r>
            <w:r>
              <w:rPr>
                <w:rFonts w:ascii="Arial" w:hAnsi="Arial" w:cs="Arial"/>
                <w:color w:val="000000" w:themeColor="text1"/>
                <w:sz w:val="24"/>
                <w:szCs w:val="24"/>
              </w:rPr>
              <w:t xml:space="preserve"> </w:t>
            </w:r>
            <w:r w:rsidRPr="006E21A3">
              <w:rPr>
                <w:rFonts w:ascii="Arial" w:hAnsi="Arial" w:cs="Arial"/>
                <w:color w:val="000000" w:themeColor="text1"/>
                <w:sz w:val="24"/>
                <w:szCs w:val="24"/>
              </w:rPr>
              <w:t>s</w:t>
            </w:r>
            <w:r>
              <w:rPr>
                <w:rFonts w:ascii="Arial" w:hAnsi="Arial" w:cs="Arial"/>
                <w:color w:val="000000" w:themeColor="text1"/>
                <w:sz w:val="24"/>
                <w:szCs w:val="24"/>
              </w:rPr>
              <w:t>urvey respondents</w:t>
            </w:r>
            <w:r w:rsidR="00E06A99">
              <w:rPr>
                <w:rStyle w:val="EndnoteReference"/>
                <w:rFonts w:ascii="Arial" w:hAnsi="Arial" w:cs="Arial"/>
                <w:color w:val="000000" w:themeColor="text1"/>
                <w:sz w:val="24"/>
                <w:szCs w:val="24"/>
              </w:rPr>
              <w:endnoteReference w:id="13"/>
            </w:r>
            <w:r w:rsidRPr="006E21A3">
              <w:rPr>
                <w:rFonts w:ascii="Arial" w:hAnsi="Arial" w:cs="Arial"/>
                <w:color w:val="000000" w:themeColor="text1"/>
                <w:sz w:val="24"/>
                <w:szCs w:val="24"/>
              </w:rPr>
              <w:t xml:space="preserve"> </w:t>
            </w:r>
            <w:r>
              <w:rPr>
                <w:rStyle w:val="normaltextrun"/>
                <w:rFonts w:ascii="Arial" w:hAnsi="Arial" w:cs="Arial"/>
                <w:color w:val="000000"/>
                <w:shd w:val="clear" w:color="auto" w:fill="FFFFFF"/>
              </w:rPr>
              <w:t xml:space="preserve">(n=125) </w:t>
            </w:r>
            <w:r w:rsidRPr="006E21A3">
              <w:rPr>
                <w:rFonts w:ascii="Arial" w:hAnsi="Arial" w:cs="Arial"/>
                <w:color w:val="000000" w:themeColor="text1"/>
                <w:sz w:val="24"/>
                <w:szCs w:val="24"/>
              </w:rPr>
              <w:t>say this</w:t>
            </w:r>
          </w:p>
        </w:tc>
        <w:tc>
          <w:tcPr>
            <w:tcW w:w="1657" w:type="dxa"/>
            <w:shd w:val="clear" w:color="auto" w:fill="FFC000" w:themeFill="accent4"/>
          </w:tcPr>
          <w:p w14:paraId="2970CE13" w14:textId="77777777" w:rsidR="003F596D" w:rsidRPr="006E21A3" w:rsidRDefault="003F596D" w:rsidP="008F312F">
            <w:pPr>
              <w:spacing w:after="120" w:line="264" w:lineRule="auto"/>
              <w:rPr>
                <w:rFonts w:ascii="Arial" w:eastAsia="Times New Roman" w:hAnsi="Arial" w:cs="Arial"/>
                <w:color w:val="000000" w:themeColor="text1"/>
                <w:spacing w:val="-5"/>
                <w:sz w:val="24"/>
                <w:szCs w:val="24"/>
                <w:lang w:eastAsia="en-GB"/>
              </w:rPr>
            </w:pPr>
            <w:r>
              <w:rPr>
                <w:rFonts w:ascii="Arial" w:hAnsi="Arial" w:cs="Arial"/>
                <w:color w:val="000000" w:themeColor="text1"/>
                <w:sz w:val="24"/>
                <w:szCs w:val="24"/>
              </w:rPr>
              <w:t>Amber</w:t>
            </w:r>
          </w:p>
        </w:tc>
      </w:tr>
    </w:tbl>
    <w:p w14:paraId="41CDF153" w14:textId="77777777" w:rsidR="003F596D" w:rsidRDefault="003F596D" w:rsidP="003F596D">
      <w:r>
        <w:br w:type="page"/>
      </w:r>
      <w:bookmarkStart w:id="0" w:name="_GoBack"/>
      <w:bookmarkEnd w:id="0"/>
    </w:p>
    <w:tbl>
      <w:tblPr>
        <w:tblStyle w:val="TableGrid"/>
        <w:tblW w:w="15451" w:type="dxa"/>
        <w:jc w:val="center"/>
        <w:tblLook w:val="04A0" w:firstRow="1" w:lastRow="0" w:firstColumn="1" w:lastColumn="0" w:noHBand="0" w:noVBand="1"/>
      </w:tblPr>
      <w:tblGrid>
        <w:gridCol w:w="2324"/>
        <w:gridCol w:w="1695"/>
        <w:gridCol w:w="3211"/>
        <w:gridCol w:w="6662"/>
        <w:gridCol w:w="1559"/>
      </w:tblGrid>
      <w:tr w:rsidR="003F596D" w:rsidRPr="006E21A3" w14:paraId="259FF52B" w14:textId="77777777" w:rsidTr="0B070F55">
        <w:trPr>
          <w:jc w:val="center"/>
        </w:trPr>
        <w:tc>
          <w:tcPr>
            <w:tcW w:w="2324" w:type="dxa"/>
          </w:tcPr>
          <w:p w14:paraId="14AFC22A" w14:textId="77777777" w:rsidR="003F596D" w:rsidRPr="006E21A3" w:rsidRDefault="003F596D" w:rsidP="008F312F">
            <w:pPr>
              <w:spacing w:line="264" w:lineRule="auto"/>
              <w:rPr>
                <w:rFonts w:ascii="Arial" w:hAnsi="Arial" w:cs="Arial"/>
                <w:b/>
                <w:bCs/>
                <w:color w:val="000000" w:themeColor="text1"/>
                <w:sz w:val="24"/>
                <w:szCs w:val="24"/>
                <w:u w:val="single"/>
              </w:rPr>
            </w:pPr>
            <w:r w:rsidRPr="006E21A3">
              <w:rPr>
                <w:rFonts w:ascii="Arial" w:hAnsi="Arial" w:cs="Arial"/>
                <w:b/>
                <w:bCs/>
                <w:color w:val="000000" w:themeColor="text1"/>
                <w:sz w:val="28"/>
                <w:szCs w:val="28"/>
              </w:rPr>
              <w:lastRenderedPageBreak/>
              <w:t>Equality Objective</w:t>
            </w:r>
          </w:p>
        </w:tc>
        <w:tc>
          <w:tcPr>
            <w:tcW w:w="1695" w:type="dxa"/>
          </w:tcPr>
          <w:p w14:paraId="35B883E6" w14:textId="77777777" w:rsidR="003F596D" w:rsidRPr="006E21A3" w:rsidRDefault="003F596D" w:rsidP="008F312F">
            <w:pPr>
              <w:spacing w:line="264" w:lineRule="auto"/>
              <w:rPr>
                <w:rFonts w:ascii="Arial" w:hAnsi="Arial" w:cs="Arial"/>
                <w:color w:val="000000" w:themeColor="text1"/>
                <w:sz w:val="24"/>
                <w:szCs w:val="24"/>
              </w:rPr>
            </w:pPr>
            <w:r w:rsidRPr="006E21A3">
              <w:rPr>
                <w:rFonts w:ascii="Arial" w:hAnsi="Arial" w:cs="Arial"/>
                <w:b/>
                <w:bCs/>
                <w:color w:val="000000" w:themeColor="text1"/>
                <w:sz w:val="28"/>
                <w:szCs w:val="28"/>
              </w:rPr>
              <w:t>Reference</w:t>
            </w:r>
          </w:p>
        </w:tc>
        <w:tc>
          <w:tcPr>
            <w:tcW w:w="3211" w:type="dxa"/>
          </w:tcPr>
          <w:p w14:paraId="02A8E2B4" w14:textId="77777777" w:rsidR="003F596D" w:rsidRPr="006E21A3" w:rsidRDefault="003F596D" w:rsidP="008F312F">
            <w:pPr>
              <w:spacing w:line="264" w:lineRule="auto"/>
              <w:rPr>
                <w:rFonts w:ascii="Arial" w:hAnsi="Arial" w:cs="Arial"/>
                <w:color w:val="000000" w:themeColor="text1"/>
                <w:sz w:val="24"/>
                <w:szCs w:val="24"/>
              </w:rPr>
            </w:pPr>
            <w:r w:rsidRPr="006E21A3">
              <w:rPr>
                <w:rFonts w:ascii="Arial" w:hAnsi="Arial" w:cs="Arial"/>
                <w:b/>
                <w:bCs/>
                <w:color w:val="000000" w:themeColor="text1"/>
                <w:sz w:val="28"/>
                <w:szCs w:val="28"/>
              </w:rPr>
              <w:t>Measures</w:t>
            </w:r>
          </w:p>
        </w:tc>
        <w:tc>
          <w:tcPr>
            <w:tcW w:w="6662" w:type="dxa"/>
          </w:tcPr>
          <w:p w14:paraId="240DC632" w14:textId="77777777" w:rsidR="003F596D" w:rsidRPr="00DF5DAA" w:rsidRDefault="003F596D" w:rsidP="008F312F">
            <w:pPr>
              <w:spacing w:line="264" w:lineRule="auto"/>
              <w:rPr>
                <w:rFonts w:ascii="Arial" w:hAnsi="Arial" w:cs="Arial"/>
                <w:color w:val="000000" w:themeColor="text1"/>
                <w:sz w:val="28"/>
                <w:szCs w:val="28"/>
              </w:rPr>
            </w:pPr>
            <w:r w:rsidRPr="00DF5DAA">
              <w:rPr>
                <w:rFonts w:ascii="Arial" w:hAnsi="Arial" w:cs="Arial"/>
                <w:b/>
                <w:bCs/>
                <w:color w:val="000000" w:themeColor="text1"/>
                <w:sz w:val="28"/>
                <w:szCs w:val="28"/>
              </w:rPr>
              <w:t>Performance data</w:t>
            </w:r>
          </w:p>
        </w:tc>
        <w:tc>
          <w:tcPr>
            <w:tcW w:w="1559" w:type="dxa"/>
          </w:tcPr>
          <w:p w14:paraId="3F79257D" w14:textId="77777777" w:rsidR="003F596D" w:rsidRPr="00DF5DAA" w:rsidRDefault="003F596D" w:rsidP="008F312F">
            <w:pPr>
              <w:spacing w:line="264" w:lineRule="auto"/>
              <w:rPr>
                <w:rFonts w:ascii="Arial" w:hAnsi="Arial" w:cs="Arial"/>
                <w:b/>
                <w:bCs/>
                <w:color w:val="000000" w:themeColor="text1"/>
                <w:sz w:val="28"/>
                <w:szCs w:val="28"/>
              </w:rPr>
            </w:pPr>
            <w:r w:rsidRPr="00DF5DAA">
              <w:rPr>
                <w:rFonts w:ascii="Arial" w:hAnsi="Arial" w:cs="Arial"/>
                <w:b/>
                <w:bCs/>
                <w:color w:val="000000" w:themeColor="text1"/>
                <w:sz w:val="28"/>
                <w:szCs w:val="28"/>
              </w:rPr>
              <w:t>RAG rating</w:t>
            </w:r>
          </w:p>
        </w:tc>
      </w:tr>
      <w:tr w:rsidR="003F596D" w:rsidRPr="006E21A3" w14:paraId="7E4C8147" w14:textId="77777777" w:rsidTr="0B070F55">
        <w:trPr>
          <w:jc w:val="center"/>
        </w:trPr>
        <w:tc>
          <w:tcPr>
            <w:tcW w:w="2324" w:type="dxa"/>
            <w:vMerge w:val="restart"/>
          </w:tcPr>
          <w:p w14:paraId="048D3469" w14:textId="77777777" w:rsidR="003F596D" w:rsidRPr="006E21A3" w:rsidRDefault="003F596D" w:rsidP="008F312F">
            <w:pPr>
              <w:spacing w:line="264" w:lineRule="auto"/>
              <w:rPr>
                <w:rFonts w:ascii="Arial" w:hAnsi="Arial" w:cs="Arial"/>
                <w:b/>
                <w:bCs/>
                <w:color w:val="000000" w:themeColor="text1"/>
                <w:sz w:val="28"/>
                <w:szCs w:val="28"/>
              </w:rPr>
            </w:pPr>
            <w:r w:rsidRPr="006E21A3">
              <w:rPr>
                <w:rFonts w:ascii="Arial" w:hAnsi="Arial" w:cs="Arial"/>
                <w:b/>
                <w:bCs/>
                <w:color w:val="000000" w:themeColor="text1"/>
                <w:sz w:val="28"/>
                <w:szCs w:val="28"/>
              </w:rPr>
              <w:t>3 continued</w:t>
            </w:r>
          </w:p>
        </w:tc>
        <w:tc>
          <w:tcPr>
            <w:tcW w:w="1695" w:type="dxa"/>
          </w:tcPr>
          <w:p w14:paraId="3820660E" w14:textId="77777777" w:rsidR="003F596D" w:rsidRPr="006E21A3" w:rsidRDefault="003F596D" w:rsidP="008F312F">
            <w:pPr>
              <w:spacing w:line="264" w:lineRule="auto"/>
              <w:rPr>
                <w:rFonts w:ascii="Arial" w:hAnsi="Arial" w:cs="Arial"/>
                <w:color w:val="000000" w:themeColor="text1"/>
                <w:sz w:val="24"/>
                <w:szCs w:val="24"/>
              </w:rPr>
            </w:pPr>
            <w:r w:rsidRPr="006E21A3">
              <w:rPr>
                <w:rFonts w:ascii="Arial" w:hAnsi="Arial" w:cs="Arial"/>
                <w:color w:val="000000" w:themeColor="text1"/>
                <w:sz w:val="24"/>
                <w:szCs w:val="24"/>
              </w:rPr>
              <w:t>3.5</w:t>
            </w:r>
          </w:p>
        </w:tc>
        <w:tc>
          <w:tcPr>
            <w:tcW w:w="3211" w:type="dxa"/>
          </w:tcPr>
          <w:p w14:paraId="4DF7EC9E" w14:textId="77777777" w:rsidR="003F596D" w:rsidRPr="006E21A3" w:rsidRDefault="003F596D" w:rsidP="008F312F">
            <w:pPr>
              <w:spacing w:line="264" w:lineRule="auto"/>
              <w:rPr>
                <w:rFonts w:ascii="Arial" w:hAnsi="Arial" w:cs="Arial"/>
                <w:color w:val="000000" w:themeColor="text1"/>
                <w:sz w:val="24"/>
                <w:szCs w:val="24"/>
              </w:rPr>
            </w:pPr>
            <w:r w:rsidRPr="006E21A3">
              <w:rPr>
                <w:rFonts w:ascii="Arial" w:eastAsia="Times New Roman" w:hAnsi="Arial" w:cs="Arial"/>
                <w:color w:val="000000" w:themeColor="text1"/>
                <w:spacing w:val="-5"/>
                <w:sz w:val="24"/>
                <w:szCs w:val="24"/>
                <w:lang w:eastAsia="en-GB"/>
              </w:rPr>
              <w:t>Our commitments with other organisations to tackle inequalities in access, experience and outcomes as measured through revised memoranda of understanding</w:t>
            </w:r>
          </w:p>
        </w:tc>
        <w:tc>
          <w:tcPr>
            <w:tcW w:w="6662" w:type="dxa"/>
          </w:tcPr>
          <w:p w14:paraId="3B3D58D1" w14:textId="35FE6C9B" w:rsidR="003F596D" w:rsidRPr="00E92C6D" w:rsidRDefault="00240562" w:rsidP="008F312F">
            <w:pPr>
              <w:spacing w:line="264" w:lineRule="auto"/>
              <w:rPr>
                <w:rFonts w:ascii="Arial" w:hAnsi="Arial" w:cs="Arial"/>
                <w:color w:val="FF0000"/>
                <w:sz w:val="24"/>
                <w:szCs w:val="24"/>
              </w:rPr>
            </w:pPr>
            <w:r w:rsidRPr="00E92C6D">
              <w:rPr>
                <w:rFonts w:ascii="Arial" w:hAnsi="Arial" w:cs="Arial"/>
                <w:sz w:val="24"/>
                <w:szCs w:val="24"/>
              </w:rPr>
              <w:t xml:space="preserve">Only </w:t>
            </w:r>
            <w:r w:rsidR="00A41823">
              <w:rPr>
                <w:rFonts w:ascii="Arial" w:hAnsi="Arial" w:cs="Arial"/>
                <w:sz w:val="24"/>
                <w:szCs w:val="24"/>
              </w:rPr>
              <w:t>one</w:t>
            </w:r>
            <w:r w:rsidRPr="00E92C6D">
              <w:rPr>
                <w:rFonts w:ascii="Arial" w:hAnsi="Arial" w:cs="Arial"/>
                <w:sz w:val="24"/>
                <w:szCs w:val="24"/>
              </w:rPr>
              <w:t xml:space="preserve"> </w:t>
            </w:r>
            <w:r w:rsidR="00675A13">
              <w:rPr>
                <w:rFonts w:ascii="Arial" w:hAnsi="Arial" w:cs="Arial"/>
                <w:sz w:val="24"/>
                <w:szCs w:val="24"/>
              </w:rPr>
              <w:t xml:space="preserve">Memorandum of understanding/ </w:t>
            </w:r>
            <w:r w:rsidRPr="00E92C6D">
              <w:rPr>
                <w:rFonts w:ascii="Arial" w:hAnsi="Arial" w:cs="Arial"/>
                <w:sz w:val="24"/>
                <w:szCs w:val="24"/>
              </w:rPr>
              <w:t>Joint working agreements ha</w:t>
            </w:r>
            <w:r w:rsidR="00675A13">
              <w:rPr>
                <w:rFonts w:ascii="Arial" w:hAnsi="Arial" w:cs="Arial"/>
                <w:sz w:val="24"/>
                <w:szCs w:val="24"/>
              </w:rPr>
              <w:t>s</w:t>
            </w:r>
            <w:r w:rsidRPr="00E92C6D">
              <w:rPr>
                <w:rFonts w:ascii="Arial" w:hAnsi="Arial" w:cs="Arial"/>
                <w:sz w:val="24"/>
                <w:szCs w:val="24"/>
              </w:rPr>
              <w:t xml:space="preserve"> been </w:t>
            </w:r>
            <w:r w:rsidR="002F1709" w:rsidRPr="00E92C6D">
              <w:rPr>
                <w:rFonts w:ascii="Arial" w:hAnsi="Arial" w:cs="Arial"/>
                <w:sz w:val="24"/>
                <w:szCs w:val="24"/>
              </w:rPr>
              <w:t xml:space="preserve">updated and </w:t>
            </w:r>
            <w:r w:rsidRPr="00E92C6D">
              <w:rPr>
                <w:rFonts w:ascii="Arial" w:hAnsi="Arial" w:cs="Arial"/>
                <w:sz w:val="24"/>
                <w:szCs w:val="24"/>
              </w:rPr>
              <w:t>published since</w:t>
            </w:r>
            <w:r w:rsidR="00E92C6D" w:rsidRPr="00E92C6D">
              <w:rPr>
                <w:rFonts w:ascii="Arial" w:hAnsi="Arial" w:cs="Arial"/>
                <w:sz w:val="24"/>
                <w:szCs w:val="24"/>
              </w:rPr>
              <w:t xml:space="preserve"> the Equality Objectives came into place. </w:t>
            </w:r>
            <w:r w:rsidR="00675A13">
              <w:rPr>
                <w:rFonts w:ascii="Arial" w:hAnsi="Arial" w:cs="Arial"/>
                <w:sz w:val="24"/>
                <w:szCs w:val="24"/>
              </w:rPr>
              <w:t>This</w:t>
            </w:r>
            <w:r w:rsidR="00E92C6D" w:rsidRPr="00E92C6D">
              <w:rPr>
                <w:rFonts w:ascii="Arial" w:hAnsi="Arial" w:cs="Arial"/>
                <w:sz w:val="24"/>
                <w:szCs w:val="24"/>
              </w:rPr>
              <w:t xml:space="preserve"> refer</w:t>
            </w:r>
            <w:r w:rsidR="00675A13">
              <w:rPr>
                <w:rFonts w:ascii="Arial" w:hAnsi="Arial" w:cs="Arial"/>
                <w:sz w:val="24"/>
                <w:szCs w:val="24"/>
              </w:rPr>
              <w:t>s</w:t>
            </w:r>
            <w:r w:rsidR="00E92C6D" w:rsidRPr="00E92C6D">
              <w:rPr>
                <w:rFonts w:ascii="Arial" w:hAnsi="Arial" w:cs="Arial"/>
                <w:sz w:val="24"/>
                <w:szCs w:val="24"/>
              </w:rPr>
              <w:t xml:space="preserve"> to joint working on equality issues</w:t>
            </w:r>
            <w:r w:rsidR="001D555F">
              <w:rPr>
                <w:rStyle w:val="EndnoteReference"/>
                <w:rFonts w:ascii="Arial" w:hAnsi="Arial" w:cs="Arial"/>
                <w:sz w:val="24"/>
                <w:szCs w:val="24"/>
              </w:rPr>
              <w:endnoteReference w:id="14"/>
            </w:r>
            <w:r w:rsidR="00E92C6D" w:rsidRPr="00E92C6D">
              <w:rPr>
                <w:rFonts w:ascii="Arial" w:hAnsi="Arial" w:cs="Arial"/>
                <w:sz w:val="24"/>
                <w:szCs w:val="24"/>
              </w:rPr>
              <w:t>.</w:t>
            </w:r>
          </w:p>
        </w:tc>
        <w:tc>
          <w:tcPr>
            <w:tcW w:w="1559" w:type="dxa"/>
            <w:shd w:val="clear" w:color="auto" w:fill="92D050"/>
          </w:tcPr>
          <w:p w14:paraId="3B852796" w14:textId="73EDA679" w:rsidR="003F596D" w:rsidRPr="006E21A3" w:rsidRDefault="00E92C6D" w:rsidP="008F312F">
            <w:pPr>
              <w:spacing w:line="264" w:lineRule="auto"/>
              <w:rPr>
                <w:rFonts w:ascii="Arial" w:hAnsi="Arial" w:cs="Arial"/>
                <w:color w:val="FF0000"/>
                <w:sz w:val="24"/>
                <w:szCs w:val="24"/>
              </w:rPr>
            </w:pPr>
            <w:r w:rsidRPr="00E92C6D">
              <w:rPr>
                <w:rFonts w:ascii="Arial" w:hAnsi="Arial" w:cs="Arial"/>
                <w:sz w:val="24"/>
                <w:szCs w:val="24"/>
              </w:rPr>
              <w:t>Green</w:t>
            </w:r>
          </w:p>
        </w:tc>
      </w:tr>
      <w:tr w:rsidR="003F596D" w:rsidRPr="006E21A3" w14:paraId="0C050B91" w14:textId="77777777" w:rsidTr="0B070F55">
        <w:trPr>
          <w:trHeight w:val="1435"/>
          <w:jc w:val="center"/>
        </w:trPr>
        <w:tc>
          <w:tcPr>
            <w:tcW w:w="2324" w:type="dxa"/>
            <w:vMerge/>
          </w:tcPr>
          <w:p w14:paraId="58086E30" w14:textId="77777777" w:rsidR="003F596D" w:rsidRPr="006E21A3" w:rsidRDefault="003F596D" w:rsidP="008F312F">
            <w:pPr>
              <w:spacing w:line="264" w:lineRule="auto"/>
              <w:rPr>
                <w:rFonts w:ascii="Arial" w:hAnsi="Arial" w:cs="Arial"/>
                <w:b/>
                <w:bCs/>
                <w:color w:val="000000" w:themeColor="text1"/>
                <w:sz w:val="24"/>
                <w:szCs w:val="24"/>
                <w:u w:val="single"/>
              </w:rPr>
            </w:pPr>
          </w:p>
        </w:tc>
        <w:tc>
          <w:tcPr>
            <w:tcW w:w="1695" w:type="dxa"/>
          </w:tcPr>
          <w:p w14:paraId="567808C5" w14:textId="77777777" w:rsidR="003F596D" w:rsidRPr="006E21A3" w:rsidRDefault="003F596D" w:rsidP="008F312F">
            <w:pPr>
              <w:spacing w:line="264" w:lineRule="auto"/>
              <w:rPr>
                <w:rFonts w:ascii="Arial" w:hAnsi="Arial" w:cs="Arial"/>
                <w:color w:val="000000" w:themeColor="text1"/>
                <w:sz w:val="24"/>
                <w:szCs w:val="24"/>
              </w:rPr>
            </w:pPr>
            <w:r w:rsidRPr="006E21A3">
              <w:rPr>
                <w:rFonts w:ascii="Arial" w:hAnsi="Arial" w:cs="Arial"/>
                <w:color w:val="000000" w:themeColor="text1"/>
                <w:sz w:val="24"/>
                <w:szCs w:val="24"/>
              </w:rPr>
              <w:t>3.6</w:t>
            </w:r>
          </w:p>
        </w:tc>
        <w:tc>
          <w:tcPr>
            <w:tcW w:w="3211" w:type="dxa"/>
          </w:tcPr>
          <w:p w14:paraId="55F54588" w14:textId="77777777" w:rsidR="003F596D" w:rsidRPr="006E21A3" w:rsidRDefault="003F596D" w:rsidP="008F312F">
            <w:pPr>
              <w:spacing w:line="264" w:lineRule="auto"/>
              <w:rPr>
                <w:rFonts w:ascii="Arial" w:hAnsi="Arial" w:cs="Arial"/>
                <w:color w:val="000000" w:themeColor="text1"/>
                <w:sz w:val="24"/>
                <w:szCs w:val="24"/>
              </w:rPr>
            </w:pPr>
            <w:r w:rsidRPr="006E21A3">
              <w:rPr>
                <w:rFonts w:ascii="Arial" w:hAnsi="Arial" w:cs="Arial"/>
                <w:color w:val="000000" w:themeColor="text1"/>
                <w:sz w:val="24"/>
                <w:szCs w:val="24"/>
              </w:rPr>
              <w:t>Evidence of our response to recommendations made by others concerning inequalities in access, experience and outcomes.</w:t>
            </w:r>
          </w:p>
        </w:tc>
        <w:tc>
          <w:tcPr>
            <w:tcW w:w="6662" w:type="dxa"/>
          </w:tcPr>
          <w:p w14:paraId="3D7955B0" w14:textId="77777777" w:rsidR="003F596D" w:rsidRPr="006E21A3" w:rsidRDefault="003F596D" w:rsidP="008F312F">
            <w:pPr>
              <w:spacing w:line="264" w:lineRule="auto"/>
              <w:rPr>
                <w:rFonts w:ascii="Arial" w:hAnsi="Arial" w:cs="Arial"/>
                <w:color w:val="000000" w:themeColor="text1"/>
                <w:sz w:val="24"/>
                <w:szCs w:val="24"/>
              </w:rPr>
            </w:pPr>
            <w:r w:rsidRPr="006E21A3">
              <w:rPr>
                <w:rFonts w:ascii="Arial" w:hAnsi="Arial" w:cs="Arial"/>
                <w:color w:val="000000" w:themeColor="text1"/>
                <w:sz w:val="24"/>
                <w:szCs w:val="24"/>
              </w:rPr>
              <w:t>We are not measuring this yet, but are in process of setting up a system to track recommendations to CQC</w:t>
            </w:r>
          </w:p>
        </w:tc>
        <w:tc>
          <w:tcPr>
            <w:tcW w:w="1559" w:type="dxa"/>
            <w:shd w:val="clear" w:color="auto" w:fill="E7E6E6" w:themeFill="background2"/>
          </w:tcPr>
          <w:p w14:paraId="72D90E43" w14:textId="77777777" w:rsidR="003F596D" w:rsidRPr="006E21A3" w:rsidRDefault="003F596D" w:rsidP="008F312F">
            <w:pPr>
              <w:spacing w:line="264" w:lineRule="auto"/>
              <w:rPr>
                <w:rFonts w:ascii="Arial" w:hAnsi="Arial" w:cs="Arial"/>
                <w:color w:val="000000" w:themeColor="text1"/>
                <w:sz w:val="24"/>
                <w:szCs w:val="24"/>
              </w:rPr>
            </w:pPr>
            <w:r>
              <w:rPr>
                <w:rFonts w:ascii="Arial" w:hAnsi="Arial" w:cs="Arial"/>
                <w:color w:val="000000" w:themeColor="text1"/>
                <w:sz w:val="24"/>
                <w:szCs w:val="24"/>
              </w:rPr>
              <w:t>Too early</w:t>
            </w:r>
          </w:p>
        </w:tc>
      </w:tr>
      <w:tr w:rsidR="003F596D" w:rsidRPr="006E21A3" w14:paraId="46F5A75E" w14:textId="77777777" w:rsidTr="0B070F55">
        <w:trPr>
          <w:jc w:val="center"/>
        </w:trPr>
        <w:tc>
          <w:tcPr>
            <w:tcW w:w="2324" w:type="dxa"/>
          </w:tcPr>
          <w:p w14:paraId="38996A74" w14:textId="77777777" w:rsidR="003F596D" w:rsidRPr="006E21A3" w:rsidRDefault="003F596D" w:rsidP="008F312F">
            <w:pPr>
              <w:pStyle w:val="Heading1"/>
              <w:spacing w:before="0" w:line="420" w:lineRule="atLeast"/>
              <w:ind w:left="360"/>
              <w:outlineLvl w:val="0"/>
              <w:rPr>
                <w:rFonts w:ascii="Arial" w:hAnsi="Arial" w:cs="Arial"/>
                <w:b/>
                <w:bCs/>
                <w:color w:val="000000" w:themeColor="text1"/>
                <w:sz w:val="28"/>
                <w:szCs w:val="28"/>
              </w:rPr>
            </w:pPr>
            <w:r w:rsidRPr="006E21A3">
              <w:rPr>
                <w:rFonts w:ascii="Arial" w:hAnsi="Arial" w:cs="Arial"/>
                <w:b/>
                <w:bCs/>
                <w:color w:val="000000" w:themeColor="text1"/>
                <w:sz w:val="28"/>
                <w:szCs w:val="28"/>
              </w:rPr>
              <w:lastRenderedPageBreak/>
              <w:t>Equality Objective</w:t>
            </w:r>
          </w:p>
        </w:tc>
        <w:tc>
          <w:tcPr>
            <w:tcW w:w="1695" w:type="dxa"/>
          </w:tcPr>
          <w:p w14:paraId="7095C77E" w14:textId="77777777" w:rsidR="003F596D" w:rsidRPr="006E21A3" w:rsidRDefault="003F596D" w:rsidP="008F312F">
            <w:pPr>
              <w:spacing w:line="264" w:lineRule="auto"/>
              <w:rPr>
                <w:rFonts w:ascii="Arial" w:hAnsi="Arial" w:cs="Arial"/>
                <w:color w:val="000000" w:themeColor="text1"/>
                <w:sz w:val="24"/>
                <w:szCs w:val="24"/>
              </w:rPr>
            </w:pPr>
            <w:r w:rsidRPr="006E21A3">
              <w:rPr>
                <w:rFonts w:ascii="Arial" w:hAnsi="Arial" w:cs="Arial"/>
                <w:b/>
                <w:bCs/>
                <w:color w:val="000000" w:themeColor="text1"/>
                <w:sz w:val="28"/>
                <w:szCs w:val="28"/>
              </w:rPr>
              <w:t>Reference</w:t>
            </w:r>
          </w:p>
        </w:tc>
        <w:tc>
          <w:tcPr>
            <w:tcW w:w="3211" w:type="dxa"/>
          </w:tcPr>
          <w:p w14:paraId="3D13276E" w14:textId="77777777" w:rsidR="003F596D" w:rsidRPr="006E21A3" w:rsidRDefault="003F596D" w:rsidP="008F312F">
            <w:pPr>
              <w:spacing w:line="264" w:lineRule="auto"/>
              <w:rPr>
                <w:rFonts w:ascii="Arial" w:hAnsi="Arial" w:cs="Arial"/>
                <w:color w:val="000000" w:themeColor="text1"/>
                <w:sz w:val="24"/>
                <w:szCs w:val="24"/>
              </w:rPr>
            </w:pPr>
            <w:r w:rsidRPr="006E21A3">
              <w:rPr>
                <w:rFonts w:ascii="Arial" w:hAnsi="Arial" w:cs="Arial"/>
                <w:b/>
                <w:bCs/>
                <w:color w:val="000000" w:themeColor="text1"/>
                <w:sz w:val="28"/>
                <w:szCs w:val="28"/>
              </w:rPr>
              <w:t>Measures</w:t>
            </w:r>
          </w:p>
        </w:tc>
        <w:tc>
          <w:tcPr>
            <w:tcW w:w="6662" w:type="dxa"/>
          </w:tcPr>
          <w:p w14:paraId="22DC8E24" w14:textId="77777777" w:rsidR="003F596D" w:rsidRPr="006E21A3" w:rsidRDefault="003F596D" w:rsidP="008F312F">
            <w:pPr>
              <w:spacing w:line="264" w:lineRule="auto"/>
              <w:rPr>
                <w:rFonts w:ascii="Arial" w:hAnsi="Arial" w:cs="Arial"/>
                <w:color w:val="000000" w:themeColor="text1"/>
                <w:sz w:val="24"/>
                <w:szCs w:val="24"/>
              </w:rPr>
            </w:pPr>
            <w:r w:rsidRPr="006E21A3">
              <w:rPr>
                <w:rFonts w:ascii="Arial" w:hAnsi="Arial" w:cs="Arial"/>
                <w:b/>
                <w:bCs/>
                <w:color w:val="000000" w:themeColor="text1"/>
                <w:sz w:val="28"/>
                <w:szCs w:val="28"/>
              </w:rPr>
              <w:t>Performance data</w:t>
            </w:r>
          </w:p>
        </w:tc>
        <w:tc>
          <w:tcPr>
            <w:tcW w:w="1559" w:type="dxa"/>
          </w:tcPr>
          <w:p w14:paraId="0245B321" w14:textId="77777777" w:rsidR="003F596D" w:rsidRPr="006E21A3" w:rsidRDefault="003F596D" w:rsidP="008F312F">
            <w:pPr>
              <w:spacing w:line="264" w:lineRule="auto"/>
              <w:rPr>
                <w:rFonts w:ascii="Arial" w:hAnsi="Arial" w:cs="Arial"/>
                <w:b/>
                <w:bCs/>
                <w:color w:val="000000" w:themeColor="text1"/>
                <w:sz w:val="28"/>
                <w:szCs w:val="28"/>
              </w:rPr>
            </w:pPr>
            <w:r>
              <w:rPr>
                <w:rFonts w:ascii="Arial" w:hAnsi="Arial" w:cs="Arial"/>
                <w:b/>
                <w:bCs/>
                <w:color w:val="000000" w:themeColor="text1"/>
                <w:sz w:val="28"/>
                <w:szCs w:val="28"/>
              </w:rPr>
              <w:t>RAG rating</w:t>
            </w:r>
          </w:p>
        </w:tc>
      </w:tr>
      <w:tr w:rsidR="003F596D" w:rsidRPr="006E21A3" w14:paraId="294859AD" w14:textId="77777777" w:rsidTr="0B070F55">
        <w:trPr>
          <w:jc w:val="center"/>
        </w:trPr>
        <w:tc>
          <w:tcPr>
            <w:tcW w:w="2324" w:type="dxa"/>
            <w:vMerge w:val="restart"/>
          </w:tcPr>
          <w:p w14:paraId="5922ABB3" w14:textId="77777777" w:rsidR="003F596D" w:rsidRPr="006E21A3" w:rsidRDefault="003F596D" w:rsidP="003F596D">
            <w:pPr>
              <w:pStyle w:val="Heading1"/>
              <w:numPr>
                <w:ilvl w:val="0"/>
                <w:numId w:val="15"/>
              </w:numPr>
              <w:spacing w:line="420" w:lineRule="atLeast"/>
              <w:outlineLvl w:val="0"/>
              <w:rPr>
                <w:rFonts w:ascii="Arial" w:hAnsi="Arial" w:cs="Arial"/>
                <w:b/>
                <w:bCs/>
                <w:color w:val="000000" w:themeColor="text1"/>
                <w:sz w:val="28"/>
                <w:szCs w:val="28"/>
              </w:rPr>
            </w:pPr>
            <w:r w:rsidRPr="006E21A3">
              <w:rPr>
                <w:rFonts w:ascii="Arial" w:hAnsi="Arial" w:cs="Arial"/>
                <w:b/>
                <w:bCs/>
                <w:color w:val="000000" w:themeColor="text1"/>
                <w:sz w:val="28"/>
                <w:szCs w:val="28"/>
              </w:rPr>
              <w:t>Using our independent voice to reduce inequalities</w:t>
            </w:r>
          </w:p>
          <w:p w14:paraId="2221C7BF" w14:textId="77777777" w:rsidR="003F596D" w:rsidRPr="006E21A3" w:rsidRDefault="003F596D" w:rsidP="008F312F">
            <w:pPr>
              <w:spacing w:line="264" w:lineRule="auto"/>
              <w:rPr>
                <w:rFonts w:ascii="Arial" w:hAnsi="Arial" w:cs="Arial"/>
                <w:b/>
                <w:bCs/>
                <w:color w:val="000000" w:themeColor="text1"/>
                <w:sz w:val="24"/>
                <w:szCs w:val="24"/>
                <w:u w:val="single"/>
              </w:rPr>
            </w:pPr>
          </w:p>
        </w:tc>
        <w:tc>
          <w:tcPr>
            <w:tcW w:w="1695" w:type="dxa"/>
          </w:tcPr>
          <w:p w14:paraId="04F8BC70" w14:textId="77777777" w:rsidR="003F596D" w:rsidRPr="006E21A3" w:rsidRDefault="003F596D" w:rsidP="008F312F">
            <w:pPr>
              <w:spacing w:line="264" w:lineRule="auto"/>
              <w:rPr>
                <w:rFonts w:ascii="Arial" w:hAnsi="Arial" w:cs="Arial"/>
                <w:color w:val="000000" w:themeColor="text1"/>
                <w:sz w:val="24"/>
                <w:szCs w:val="24"/>
              </w:rPr>
            </w:pPr>
            <w:r w:rsidRPr="006E21A3">
              <w:rPr>
                <w:rFonts w:ascii="Arial" w:hAnsi="Arial" w:cs="Arial"/>
                <w:color w:val="000000" w:themeColor="text1"/>
                <w:sz w:val="24"/>
                <w:szCs w:val="24"/>
              </w:rPr>
              <w:t>4.1</w:t>
            </w:r>
          </w:p>
        </w:tc>
        <w:tc>
          <w:tcPr>
            <w:tcW w:w="3211" w:type="dxa"/>
          </w:tcPr>
          <w:p w14:paraId="5561C431" w14:textId="77777777" w:rsidR="003F596D" w:rsidRPr="006E21A3" w:rsidRDefault="003F596D" w:rsidP="008F312F">
            <w:pPr>
              <w:spacing w:line="264" w:lineRule="auto"/>
              <w:rPr>
                <w:rFonts w:ascii="Arial" w:hAnsi="Arial" w:cs="Arial"/>
                <w:color w:val="000000" w:themeColor="text1"/>
                <w:sz w:val="24"/>
                <w:szCs w:val="24"/>
              </w:rPr>
            </w:pPr>
            <w:r w:rsidRPr="006E21A3">
              <w:rPr>
                <w:rFonts w:ascii="Arial" w:hAnsi="Arial" w:cs="Arial"/>
                <w:color w:val="000000" w:themeColor="text1"/>
                <w:sz w:val="24"/>
                <w:szCs w:val="24"/>
              </w:rPr>
              <w:t>Services and local stakeholders that say our work has encouraged them to reduce inequalities in access, people feeling safe, care (and treatment) meeting people's needs, overall experience and satisfaction, and health and care outcomes</w:t>
            </w:r>
          </w:p>
        </w:tc>
        <w:tc>
          <w:tcPr>
            <w:tcW w:w="6662" w:type="dxa"/>
          </w:tcPr>
          <w:p w14:paraId="22B06BC9" w14:textId="3D174379" w:rsidR="003F596D" w:rsidRPr="00067005" w:rsidRDefault="003F596D" w:rsidP="008F312F">
            <w:pPr>
              <w:spacing w:line="264" w:lineRule="auto"/>
              <w:rPr>
                <w:rFonts w:ascii="Arial" w:hAnsi="Arial" w:cs="Arial"/>
                <w:color w:val="000000" w:themeColor="text1"/>
                <w:sz w:val="24"/>
                <w:szCs w:val="24"/>
              </w:rPr>
            </w:pPr>
            <w:r w:rsidRPr="00530206">
              <w:rPr>
                <w:rFonts w:ascii="Arial" w:hAnsi="Arial" w:cs="Arial"/>
                <w:b/>
                <w:bCs/>
                <w:color w:val="000000" w:themeColor="text1"/>
                <w:sz w:val="24"/>
                <w:szCs w:val="24"/>
              </w:rPr>
              <w:t>88%</w:t>
            </w:r>
            <w:r w:rsidRPr="00067005">
              <w:rPr>
                <w:rFonts w:ascii="Arial" w:hAnsi="Arial" w:cs="Arial"/>
                <w:color w:val="000000" w:themeColor="text1"/>
                <w:sz w:val="24"/>
                <w:szCs w:val="24"/>
              </w:rPr>
              <w:t xml:space="preserve"> of services </w:t>
            </w:r>
            <w:r w:rsidRPr="00067005">
              <w:rPr>
                <w:rStyle w:val="normaltextrun"/>
                <w:rFonts w:ascii="Arial" w:hAnsi="Arial" w:cs="Arial"/>
                <w:color w:val="000000"/>
                <w:sz w:val="24"/>
                <w:szCs w:val="24"/>
                <w:shd w:val="clear" w:color="auto" w:fill="FFFFFF"/>
              </w:rPr>
              <w:t xml:space="preserve">(n=17733) </w:t>
            </w:r>
            <w:r w:rsidRPr="00067005">
              <w:rPr>
                <w:rFonts w:ascii="Arial" w:hAnsi="Arial" w:cs="Arial"/>
                <w:color w:val="000000" w:themeColor="text1"/>
                <w:sz w:val="24"/>
                <w:szCs w:val="24"/>
              </w:rPr>
              <w:t>say our work has encouraged them to reduce inequalities in access, experience and outcomes for people who use, or need to use, their services</w:t>
            </w:r>
            <w:r w:rsidR="00035694">
              <w:rPr>
                <w:rStyle w:val="EndnoteReference"/>
                <w:rFonts w:ascii="Arial" w:hAnsi="Arial" w:cs="Arial"/>
                <w:color w:val="000000" w:themeColor="text1"/>
                <w:sz w:val="24"/>
                <w:szCs w:val="24"/>
              </w:rPr>
              <w:endnoteReference w:id="15"/>
            </w:r>
            <w:r w:rsidRPr="00067005">
              <w:rPr>
                <w:rFonts w:ascii="Arial" w:hAnsi="Arial" w:cs="Arial"/>
                <w:color w:val="000000" w:themeColor="text1"/>
                <w:sz w:val="24"/>
                <w:szCs w:val="24"/>
              </w:rPr>
              <w:t xml:space="preserve"> </w:t>
            </w:r>
            <w:r w:rsidRPr="00067005">
              <w:rPr>
                <w:rStyle w:val="normaltextrun"/>
                <w:rFonts w:ascii="Arial" w:hAnsi="Arial" w:cs="Arial"/>
                <w:color w:val="000000"/>
                <w:sz w:val="24"/>
                <w:szCs w:val="24"/>
                <w:shd w:val="clear" w:color="auto" w:fill="FFFFFF"/>
              </w:rPr>
              <w:t>(9% of services neither agreed nor disagreed)</w:t>
            </w:r>
            <w:r w:rsidRPr="00067005">
              <w:rPr>
                <w:rFonts w:ascii="Arial" w:hAnsi="Arial" w:cs="Arial"/>
                <w:color w:val="000000" w:themeColor="text1"/>
                <w:sz w:val="24"/>
                <w:szCs w:val="24"/>
              </w:rPr>
              <w:t>. This question will also be asked of local stakeholders, but this information is not collected yet.</w:t>
            </w:r>
          </w:p>
        </w:tc>
        <w:tc>
          <w:tcPr>
            <w:tcW w:w="1559" w:type="dxa"/>
            <w:shd w:val="clear" w:color="auto" w:fill="C5E0B3" w:themeFill="accent6" w:themeFillTint="66"/>
          </w:tcPr>
          <w:p w14:paraId="6523CBA5" w14:textId="6FB5BD3B" w:rsidR="003F596D" w:rsidRPr="006E21A3" w:rsidRDefault="003F596D" w:rsidP="008F312F">
            <w:pPr>
              <w:spacing w:line="264" w:lineRule="auto"/>
              <w:rPr>
                <w:rFonts w:ascii="Arial" w:hAnsi="Arial" w:cs="Arial"/>
                <w:color w:val="000000" w:themeColor="text1"/>
                <w:sz w:val="24"/>
                <w:szCs w:val="24"/>
              </w:rPr>
            </w:pPr>
            <w:r>
              <w:rPr>
                <w:rFonts w:ascii="Arial" w:hAnsi="Arial" w:cs="Arial"/>
                <w:color w:val="000000" w:themeColor="text1"/>
                <w:sz w:val="24"/>
                <w:szCs w:val="24"/>
              </w:rPr>
              <w:t>Green</w:t>
            </w:r>
            <w:r w:rsidR="001D555F">
              <w:rPr>
                <w:rFonts w:ascii="Arial" w:hAnsi="Arial" w:cs="Arial"/>
                <w:color w:val="000000" w:themeColor="text1"/>
                <w:sz w:val="24"/>
                <w:szCs w:val="24"/>
              </w:rPr>
              <w:t xml:space="preserve"> (services)</w:t>
            </w:r>
            <w:r>
              <w:rPr>
                <w:rFonts w:ascii="Arial" w:hAnsi="Arial" w:cs="Arial"/>
                <w:color w:val="000000" w:themeColor="text1"/>
                <w:sz w:val="24"/>
                <w:szCs w:val="24"/>
              </w:rPr>
              <w:t xml:space="preserve">/ too </w:t>
            </w:r>
            <w:proofErr w:type="gramStart"/>
            <w:r>
              <w:rPr>
                <w:rFonts w:ascii="Arial" w:hAnsi="Arial" w:cs="Arial"/>
                <w:color w:val="000000" w:themeColor="text1"/>
                <w:sz w:val="24"/>
                <w:szCs w:val="24"/>
              </w:rPr>
              <w:t>early</w:t>
            </w:r>
            <w:r w:rsidR="001D555F">
              <w:rPr>
                <w:rFonts w:ascii="Arial" w:hAnsi="Arial" w:cs="Arial"/>
                <w:color w:val="000000" w:themeColor="text1"/>
                <w:sz w:val="24"/>
                <w:szCs w:val="24"/>
              </w:rPr>
              <w:t>(</w:t>
            </w:r>
            <w:proofErr w:type="gramEnd"/>
            <w:r w:rsidR="001D555F">
              <w:rPr>
                <w:rFonts w:ascii="Arial" w:hAnsi="Arial" w:cs="Arial"/>
                <w:color w:val="000000" w:themeColor="text1"/>
                <w:sz w:val="24"/>
                <w:szCs w:val="24"/>
              </w:rPr>
              <w:t>other groups)</w:t>
            </w:r>
          </w:p>
        </w:tc>
      </w:tr>
      <w:tr w:rsidR="003F596D" w:rsidRPr="006E21A3" w14:paraId="14858BDC" w14:textId="77777777" w:rsidTr="0B070F55">
        <w:trPr>
          <w:jc w:val="center"/>
        </w:trPr>
        <w:tc>
          <w:tcPr>
            <w:tcW w:w="2324" w:type="dxa"/>
            <w:vMerge/>
          </w:tcPr>
          <w:p w14:paraId="57A5086E" w14:textId="77777777" w:rsidR="003F596D" w:rsidRPr="006E21A3" w:rsidRDefault="003F596D" w:rsidP="008F312F">
            <w:pPr>
              <w:pStyle w:val="Heading1"/>
              <w:spacing w:line="420" w:lineRule="atLeast"/>
              <w:ind w:left="360"/>
              <w:outlineLvl w:val="0"/>
              <w:rPr>
                <w:rFonts w:ascii="Arial" w:hAnsi="Arial" w:cs="Arial"/>
                <w:b/>
                <w:bCs/>
                <w:color w:val="000000" w:themeColor="text1"/>
                <w:sz w:val="28"/>
                <w:szCs w:val="28"/>
              </w:rPr>
            </w:pPr>
          </w:p>
        </w:tc>
        <w:tc>
          <w:tcPr>
            <w:tcW w:w="1695" w:type="dxa"/>
          </w:tcPr>
          <w:p w14:paraId="714141D8" w14:textId="77777777" w:rsidR="003F596D" w:rsidRPr="006E21A3" w:rsidRDefault="003F596D" w:rsidP="008F312F">
            <w:pPr>
              <w:spacing w:line="264" w:lineRule="auto"/>
              <w:rPr>
                <w:rFonts w:ascii="Arial" w:hAnsi="Arial" w:cs="Arial"/>
                <w:color w:val="000000" w:themeColor="text1"/>
                <w:sz w:val="24"/>
                <w:szCs w:val="24"/>
              </w:rPr>
            </w:pPr>
            <w:r w:rsidRPr="006E21A3">
              <w:rPr>
                <w:rFonts w:ascii="Arial" w:hAnsi="Arial" w:cs="Arial"/>
                <w:color w:val="000000" w:themeColor="text1"/>
                <w:sz w:val="24"/>
                <w:szCs w:val="24"/>
              </w:rPr>
              <w:t>4.2</w:t>
            </w:r>
          </w:p>
        </w:tc>
        <w:tc>
          <w:tcPr>
            <w:tcW w:w="3211" w:type="dxa"/>
          </w:tcPr>
          <w:p w14:paraId="6F87EC29" w14:textId="77777777" w:rsidR="003F596D" w:rsidRPr="006E21A3" w:rsidRDefault="003F596D" w:rsidP="008F312F">
            <w:pPr>
              <w:spacing w:line="264" w:lineRule="auto"/>
              <w:rPr>
                <w:rFonts w:ascii="Arial" w:hAnsi="Arial" w:cs="Arial"/>
                <w:color w:val="000000" w:themeColor="text1"/>
                <w:sz w:val="24"/>
                <w:szCs w:val="24"/>
              </w:rPr>
            </w:pPr>
            <w:r w:rsidRPr="006E21A3">
              <w:rPr>
                <w:rFonts w:ascii="Arial" w:eastAsia="Times New Roman" w:hAnsi="Arial" w:cs="Arial"/>
                <w:color w:val="000000" w:themeColor="text1"/>
                <w:spacing w:val="-5"/>
                <w:sz w:val="24"/>
                <w:szCs w:val="24"/>
                <w:lang w:eastAsia="en-GB"/>
              </w:rPr>
              <w:t>N</w:t>
            </w:r>
            <w:r w:rsidRPr="001D520C">
              <w:rPr>
                <w:rFonts w:ascii="Arial" w:eastAsia="Times New Roman" w:hAnsi="Arial" w:cs="Arial"/>
                <w:color w:val="000000" w:themeColor="text1"/>
                <w:spacing w:val="-5"/>
                <w:sz w:val="24"/>
                <w:szCs w:val="24"/>
                <w:lang w:eastAsia="en-GB"/>
              </w:rPr>
              <w:t xml:space="preserve">umber of services, local stakeholders and our operational colleagues who say our work has </w:t>
            </w:r>
            <w:proofErr w:type="gramStart"/>
            <w:r w:rsidRPr="001D520C">
              <w:rPr>
                <w:rFonts w:ascii="Arial" w:eastAsia="Times New Roman" w:hAnsi="Arial" w:cs="Arial"/>
                <w:color w:val="000000" w:themeColor="text1"/>
                <w:spacing w:val="-5"/>
                <w:sz w:val="24"/>
                <w:szCs w:val="24"/>
                <w:lang w:eastAsia="en-GB"/>
              </w:rPr>
              <w:t>sufficient</w:t>
            </w:r>
            <w:proofErr w:type="gramEnd"/>
            <w:r w:rsidRPr="001D520C">
              <w:rPr>
                <w:rFonts w:ascii="Arial" w:eastAsia="Times New Roman" w:hAnsi="Arial" w:cs="Arial"/>
                <w:color w:val="000000" w:themeColor="text1"/>
                <w:spacing w:val="-5"/>
                <w:sz w:val="24"/>
                <w:szCs w:val="24"/>
                <w:lang w:eastAsia="en-GB"/>
              </w:rPr>
              <w:t xml:space="preserve"> focus on reducing inequalities</w:t>
            </w:r>
          </w:p>
        </w:tc>
        <w:tc>
          <w:tcPr>
            <w:tcW w:w="6662" w:type="dxa"/>
          </w:tcPr>
          <w:p w14:paraId="4C7BC1ED" w14:textId="744FFB5D" w:rsidR="003F596D" w:rsidRPr="00067005" w:rsidRDefault="003F596D" w:rsidP="008F312F">
            <w:pPr>
              <w:spacing w:line="264" w:lineRule="auto"/>
              <w:rPr>
                <w:rFonts w:ascii="Arial" w:hAnsi="Arial" w:cs="Arial"/>
                <w:color w:val="000000" w:themeColor="text1"/>
                <w:sz w:val="24"/>
                <w:szCs w:val="24"/>
              </w:rPr>
            </w:pPr>
            <w:r w:rsidRPr="00B87BCB">
              <w:rPr>
                <w:rFonts w:ascii="Arial" w:hAnsi="Arial" w:cs="Arial"/>
                <w:b/>
                <w:bCs/>
                <w:color w:val="000000" w:themeColor="text1"/>
                <w:sz w:val="24"/>
                <w:szCs w:val="24"/>
              </w:rPr>
              <w:t xml:space="preserve">78% </w:t>
            </w:r>
            <w:r w:rsidRPr="00067005">
              <w:rPr>
                <w:rFonts w:ascii="Arial" w:hAnsi="Arial" w:cs="Arial"/>
                <w:color w:val="000000" w:themeColor="text1"/>
                <w:sz w:val="24"/>
                <w:szCs w:val="24"/>
              </w:rPr>
              <w:t xml:space="preserve">of services </w:t>
            </w:r>
            <w:r w:rsidRPr="00067005">
              <w:rPr>
                <w:rStyle w:val="normaltextrun"/>
                <w:rFonts w:ascii="Arial" w:hAnsi="Arial" w:cs="Arial"/>
                <w:color w:val="000000"/>
                <w:sz w:val="24"/>
                <w:szCs w:val="24"/>
                <w:shd w:val="clear" w:color="auto" w:fill="FFFFFF"/>
              </w:rPr>
              <w:t xml:space="preserve">(n=17769) </w:t>
            </w:r>
            <w:r w:rsidRPr="00067005">
              <w:rPr>
                <w:rFonts w:ascii="Arial" w:hAnsi="Arial" w:cs="Arial"/>
                <w:color w:val="000000" w:themeColor="text1"/>
                <w:sz w:val="24"/>
                <w:szCs w:val="24"/>
              </w:rPr>
              <w:t xml:space="preserve">say our work has </w:t>
            </w:r>
            <w:proofErr w:type="gramStart"/>
            <w:r w:rsidRPr="00067005">
              <w:rPr>
                <w:rFonts w:ascii="Arial" w:hAnsi="Arial" w:cs="Arial"/>
                <w:color w:val="000000" w:themeColor="text1"/>
                <w:sz w:val="24"/>
                <w:szCs w:val="24"/>
              </w:rPr>
              <w:t>sufficient</w:t>
            </w:r>
            <w:proofErr w:type="gramEnd"/>
            <w:r w:rsidRPr="00067005">
              <w:rPr>
                <w:rFonts w:ascii="Arial" w:hAnsi="Arial" w:cs="Arial"/>
                <w:color w:val="000000" w:themeColor="text1"/>
                <w:sz w:val="24"/>
                <w:szCs w:val="24"/>
              </w:rPr>
              <w:t xml:space="preserve"> focus on reducing inequalities in access, experiences and outcomes for people using services </w:t>
            </w:r>
            <w:r w:rsidRPr="00067005">
              <w:rPr>
                <w:rStyle w:val="normaltextrun"/>
                <w:rFonts w:ascii="Arial" w:hAnsi="Arial" w:cs="Arial"/>
                <w:color w:val="000000"/>
                <w:sz w:val="24"/>
                <w:szCs w:val="24"/>
                <w:shd w:val="clear" w:color="auto" w:fill="FFFFFF"/>
              </w:rPr>
              <w:t>(17% of services neither agreed nor disagreed)</w:t>
            </w:r>
            <w:r w:rsidR="00702372">
              <w:rPr>
                <w:rStyle w:val="EndnoteReference"/>
                <w:rFonts w:ascii="Arial" w:hAnsi="Arial" w:cs="Arial"/>
                <w:color w:val="000000"/>
                <w:sz w:val="24"/>
                <w:szCs w:val="24"/>
                <w:shd w:val="clear" w:color="auto" w:fill="FFFFFF"/>
              </w:rPr>
              <w:endnoteReference w:id="16"/>
            </w:r>
            <w:r w:rsidRPr="00067005">
              <w:rPr>
                <w:rFonts w:ascii="Arial" w:hAnsi="Arial" w:cs="Arial"/>
                <w:color w:val="000000" w:themeColor="text1"/>
                <w:sz w:val="24"/>
                <w:szCs w:val="24"/>
              </w:rPr>
              <w:t>. This question will also be asked of local stakeholders and our operational colleagues</w:t>
            </w:r>
          </w:p>
        </w:tc>
        <w:tc>
          <w:tcPr>
            <w:tcW w:w="1559" w:type="dxa"/>
            <w:shd w:val="clear" w:color="auto" w:fill="C5E0B3" w:themeFill="accent6" w:themeFillTint="66"/>
          </w:tcPr>
          <w:p w14:paraId="42CB83A1" w14:textId="0594BA0D" w:rsidR="003F596D" w:rsidRPr="006E21A3" w:rsidRDefault="003F596D" w:rsidP="008F312F">
            <w:pPr>
              <w:spacing w:line="264" w:lineRule="auto"/>
              <w:rPr>
                <w:rFonts w:ascii="Arial" w:hAnsi="Arial" w:cs="Arial"/>
                <w:color w:val="000000" w:themeColor="text1"/>
                <w:sz w:val="24"/>
                <w:szCs w:val="24"/>
              </w:rPr>
            </w:pPr>
            <w:r>
              <w:rPr>
                <w:rFonts w:ascii="Arial" w:hAnsi="Arial" w:cs="Arial"/>
                <w:color w:val="000000" w:themeColor="text1"/>
                <w:sz w:val="24"/>
                <w:szCs w:val="24"/>
              </w:rPr>
              <w:t>Green</w:t>
            </w:r>
            <w:r w:rsidR="001D555F">
              <w:rPr>
                <w:rFonts w:ascii="Arial" w:hAnsi="Arial" w:cs="Arial"/>
                <w:color w:val="000000" w:themeColor="text1"/>
                <w:sz w:val="24"/>
                <w:szCs w:val="24"/>
              </w:rPr>
              <w:t xml:space="preserve"> (services)</w:t>
            </w:r>
            <w:r>
              <w:rPr>
                <w:rFonts w:ascii="Arial" w:hAnsi="Arial" w:cs="Arial"/>
                <w:color w:val="000000" w:themeColor="text1"/>
                <w:sz w:val="24"/>
                <w:szCs w:val="24"/>
              </w:rPr>
              <w:t>/ too early</w:t>
            </w:r>
            <w:r w:rsidR="001D555F">
              <w:rPr>
                <w:rFonts w:ascii="Arial" w:hAnsi="Arial" w:cs="Arial"/>
                <w:color w:val="000000" w:themeColor="text1"/>
                <w:sz w:val="24"/>
                <w:szCs w:val="24"/>
              </w:rPr>
              <w:t xml:space="preserve"> (other groups)</w:t>
            </w:r>
          </w:p>
        </w:tc>
      </w:tr>
      <w:tr w:rsidR="003F596D" w:rsidRPr="006E21A3" w14:paraId="0AABAE40" w14:textId="77777777" w:rsidTr="0B070F55">
        <w:trPr>
          <w:jc w:val="center"/>
        </w:trPr>
        <w:tc>
          <w:tcPr>
            <w:tcW w:w="2324" w:type="dxa"/>
            <w:vMerge/>
          </w:tcPr>
          <w:p w14:paraId="62533EA0" w14:textId="77777777" w:rsidR="003F596D" w:rsidRPr="006E21A3" w:rsidRDefault="003F596D" w:rsidP="008F312F">
            <w:pPr>
              <w:pStyle w:val="Heading1"/>
              <w:spacing w:line="420" w:lineRule="atLeast"/>
              <w:ind w:left="360"/>
              <w:outlineLvl w:val="0"/>
              <w:rPr>
                <w:rFonts w:ascii="Arial" w:hAnsi="Arial" w:cs="Arial"/>
                <w:b/>
                <w:bCs/>
                <w:color w:val="000000" w:themeColor="text1"/>
                <w:sz w:val="28"/>
                <w:szCs w:val="28"/>
              </w:rPr>
            </w:pPr>
          </w:p>
        </w:tc>
        <w:tc>
          <w:tcPr>
            <w:tcW w:w="1695" w:type="dxa"/>
          </w:tcPr>
          <w:p w14:paraId="2E9679CF" w14:textId="77777777" w:rsidR="003F596D" w:rsidRPr="006E21A3" w:rsidRDefault="003F596D" w:rsidP="008F312F">
            <w:pPr>
              <w:spacing w:line="264" w:lineRule="auto"/>
              <w:rPr>
                <w:rFonts w:ascii="Arial" w:hAnsi="Arial" w:cs="Arial"/>
                <w:color w:val="000000" w:themeColor="text1"/>
                <w:sz w:val="24"/>
                <w:szCs w:val="24"/>
              </w:rPr>
            </w:pPr>
            <w:r w:rsidRPr="006E21A3">
              <w:rPr>
                <w:rFonts w:ascii="Arial" w:hAnsi="Arial" w:cs="Arial"/>
                <w:color w:val="000000" w:themeColor="text1"/>
                <w:sz w:val="24"/>
                <w:szCs w:val="24"/>
              </w:rPr>
              <w:t>4.3</w:t>
            </w:r>
          </w:p>
        </w:tc>
        <w:tc>
          <w:tcPr>
            <w:tcW w:w="3211" w:type="dxa"/>
          </w:tcPr>
          <w:p w14:paraId="5DCBD370" w14:textId="77777777" w:rsidR="003F596D" w:rsidRPr="006E21A3" w:rsidRDefault="003F596D" w:rsidP="008F312F">
            <w:pPr>
              <w:spacing w:line="264" w:lineRule="auto"/>
              <w:rPr>
                <w:rFonts w:ascii="Arial" w:eastAsia="Times New Roman" w:hAnsi="Arial" w:cs="Arial"/>
                <w:color w:val="000000" w:themeColor="text1"/>
                <w:spacing w:val="-5"/>
                <w:sz w:val="24"/>
                <w:szCs w:val="24"/>
                <w:lang w:eastAsia="en-GB"/>
              </w:rPr>
            </w:pPr>
            <w:r w:rsidRPr="006E21A3">
              <w:rPr>
                <w:rFonts w:ascii="Arial" w:eastAsia="Times New Roman" w:hAnsi="Arial" w:cs="Arial"/>
                <w:color w:val="000000" w:themeColor="text1"/>
                <w:spacing w:val="-5"/>
                <w:sz w:val="24"/>
                <w:szCs w:val="24"/>
                <w:lang w:eastAsia="en-GB"/>
              </w:rPr>
              <w:t>The amount of content in our national reports about addressing inequalities in access, experience and outcome from using care services.</w:t>
            </w:r>
          </w:p>
        </w:tc>
        <w:tc>
          <w:tcPr>
            <w:tcW w:w="6662" w:type="dxa"/>
          </w:tcPr>
          <w:p w14:paraId="6F7B5656" w14:textId="63DA5183" w:rsidR="003F596D" w:rsidRPr="00067005" w:rsidRDefault="003F596D" w:rsidP="008F312F">
            <w:pPr>
              <w:spacing w:line="264" w:lineRule="auto"/>
              <w:rPr>
                <w:rFonts w:ascii="Arial" w:hAnsi="Arial" w:cs="Arial"/>
                <w:sz w:val="24"/>
                <w:szCs w:val="24"/>
              </w:rPr>
            </w:pPr>
            <w:r w:rsidRPr="00067005">
              <w:rPr>
                <w:rFonts w:ascii="Arial" w:hAnsi="Arial" w:cs="Arial"/>
                <w:sz w:val="24"/>
                <w:szCs w:val="24"/>
              </w:rPr>
              <w:t>In the first year of the Equality Objectives to date (from 1</w:t>
            </w:r>
            <w:r w:rsidRPr="00067005">
              <w:rPr>
                <w:rFonts w:ascii="Arial" w:hAnsi="Arial" w:cs="Arial"/>
                <w:sz w:val="24"/>
                <w:szCs w:val="24"/>
                <w:vertAlign w:val="superscript"/>
              </w:rPr>
              <w:t>st</w:t>
            </w:r>
            <w:r w:rsidRPr="00067005">
              <w:rPr>
                <w:rFonts w:ascii="Arial" w:hAnsi="Arial" w:cs="Arial"/>
                <w:sz w:val="24"/>
                <w:szCs w:val="24"/>
              </w:rPr>
              <w:t xml:space="preserve"> August 2021) we, we have published 10 national reports, 5 had </w:t>
            </w:r>
            <w:proofErr w:type="gramStart"/>
            <w:r w:rsidRPr="00067005">
              <w:rPr>
                <w:rFonts w:ascii="Arial" w:hAnsi="Arial" w:cs="Arial"/>
                <w:sz w:val="24"/>
                <w:szCs w:val="24"/>
              </w:rPr>
              <w:t>a main focus</w:t>
            </w:r>
            <w:proofErr w:type="gramEnd"/>
            <w:r w:rsidRPr="00067005">
              <w:rPr>
                <w:rFonts w:ascii="Arial" w:hAnsi="Arial" w:cs="Arial"/>
                <w:sz w:val="24"/>
                <w:szCs w:val="24"/>
              </w:rPr>
              <w:t xml:space="preserve"> on inequalities and a further 3 had some content on inequalities. In the previous full year, we published 23 national reports, 7 had a major focus on inequalities and a further 13 had some content</w:t>
            </w:r>
            <w:r w:rsidR="00702372">
              <w:rPr>
                <w:rStyle w:val="EndnoteReference"/>
                <w:rFonts w:ascii="Arial" w:hAnsi="Arial" w:cs="Arial"/>
                <w:sz w:val="24"/>
                <w:szCs w:val="24"/>
              </w:rPr>
              <w:endnoteReference w:id="17"/>
            </w:r>
            <w:r w:rsidRPr="00067005">
              <w:rPr>
                <w:rFonts w:ascii="Arial" w:hAnsi="Arial" w:cs="Arial"/>
                <w:sz w:val="24"/>
                <w:szCs w:val="24"/>
              </w:rPr>
              <w:t xml:space="preserve">. </w:t>
            </w:r>
          </w:p>
        </w:tc>
        <w:tc>
          <w:tcPr>
            <w:tcW w:w="1559" w:type="dxa"/>
            <w:shd w:val="clear" w:color="auto" w:fill="92D050"/>
          </w:tcPr>
          <w:p w14:paraId="69AC1B99" w14:textId="77777777" w:rsidR="003F596D" w:rsidRDefault="003F596D" w:rsidP="008F312F">
            <w:pPr>
              <w:spacing w:line="264" w:lineRule="auto"/>
              <w:rPr>
                <w:rFonts w:ascii="Arial" w:hAnsi="Arial" w:cs="Arial"/>
                <w:sz w:val="24"/>
                <w:szCs w:val="24"/>
              </w:rPr>
            </w:pPr>
            <w:r>
              <w:rPr>
                <w:rFonts w:ascii="Arial" w:hAnsi="Arial" w:cs="Arial"/>
                <w:sz w:val="24"/>
                <w:szCs w:val="24"/>
              </w:rPr>
              <w:t>Green</w:t>
            </w:r>
          </w:p>
        </w:tc>
      </w:tr>
      <w:tr w:rsidR="003F596D" w:rsidRPr="006E21A3" w14:paraId="3DFB7A1D" w14:textId="77777777" w:rsidTr="0B070F55">
        <w:trPr>
          <w:jc w:val="center"/>
        </w:trPr>
        <w:tc>
          <w:tcPr>
            <w:tcW w:w="2324" w:type="dxa"/>
            <w:vMerge/>
          </w:tcPr>
          <w:p w14:paraId="774895C7" w14:textId="77777777" w:rsidR="003F596D" w:rsidRPr="006E21A3" w:rsidRDefault="003F596D" w:rsidP="008F312F">
            <w:pPr>
              <w:pStyle w:val="Heading1"/>
              <w:spacing w:line="420" w:lineRule="atLeast"/>
              <w:ind w:left="360"/>
              <w:outlineLvl w:val="0"/>
              <w:rPr>
                <w:rFonts w:ascii="Arial" w:hAnsi="Arial" w:cs="Arial"/>
                <w:b/>
                <w:bCs/>
                <w:color w:val="000000" w:themeColor="text1"/>
                <w:sz w:val="28"/>
                <w:szCs w:val="28"/>
              </w:rPr>
            </w:pPr>
          </w:p>
        </w:tc>
        <w:tc>
          <w:tcPr>
            <w:tcW w:w="1695" w:type="dxa"/>
          </w:tcPr>
          <w:p w14:paraId="36A6ECE7" w14:textId="77777777" w:rsidR="003F596D" w:rsidRPr="006E21A3" w:rsidRDefault="003F596D" w:rsidP="008F312F">
            <w:pPr>
              <w:spacing w:line="264" w:lineRule="auto"/>
              <w:rPr>
                <w:rFonts w:ascii="Arial" w:hAnsi="Arial" w:cs="Arial"/>
                <w:color w:val="000000" w:themeColor="text1"/>
                <w:sz w:val="24"/>
                <w:szCs w:val="24"/>
              </w:rPr>
            </w:pPr>
            <w:r w:rsidRPr="006E21A3">
              <w:rPr>
                <w:rFonts w:ascii="Arial" w:hAnsi="Arial" w:cs="Arial"/>
                <w:color w:val="000000" w:themeColor="text1"/>
                <w:sz w:val="24"/>
                <w:szCs w:val="24"/>
              </w:rPr>
              <w:t>4.4</w:t>
            </w:r>
          </w:p>
        </w:tc>
        <w:tc>
          <w:tcPr>
            <w:tcW w:w="3211" w:type="dxa"/>
          </w:tcPr>
          <w:p w14:paraId="3CDB2C44" w14:textId="77777777" w:rsidR="003F596D" w:rsidRPr="006E21A3" w:rsidRDefault="003F596D" w:rsidP="008F312F">
            <w:pPr>
              <w:spacing w:line="264" w:lineRule="auto"/>
              <w:rPr>
                <w:rFonts w:ascii="Arial" w:eastAsia="Times New Roman" w:hAnsi="Arial" w:cs="Arial"/>
                <w:color w:val="000000" w:themeColor="text1"/>
                <w:spacing w:val="-5"/>
                <w:sz w:val="24"/>
                <w:szCs w:val="24"/>
                <w:lang w:eastAsia="en-GB"/>
              </w:rPr>
            </w:pPr>
            <w:r w:rsidRPr="006E21A3">
              <w:rPr>
                <w:rFonts w:ascii="Arial" w:eastAsia="Times New Roman" w:hAnsi="Arial" w:cs="Arial"/>
                <w:color w:val="000000" w:themeColor="text1"/>
                <w:spacing w:val="-5"/>
                <w:sz w:val="24"/>
                <w:szCs w:val="24"/>
                <w:lang w:eastAsia="en-GB"/>
              </w:rPr>
              <w:t>Evidence that learning from our independent voice work develops our own approaches to regulating to reduce inequalities, for example through changing our methods</w:t>
            </w:r>
          </w:p>
        </w:tc>
        <w:tc>
          <w:tcPr>
            <w:tcW w:w="6662" w:type="dxa"/>
          </w:tcPr>
          <w:p w14:paraId="3F3DF815" w14:textId="77777777" w:rsidR="003F596D" w:rsidRPr="00067005" w:rsidRDefault="003F596D" w:rsidP="008F312F">
            <w:pPr>
              <w:spacing w:line="264" w:lineRule="auto"/>
              <w:rPr>
                <w:rFonts w:ascii="Arial" w:hAnsi="Arial" w:cs="Arial"/>
                <w:color w:val="000000" w:themeColor="text1"/>
                <w:sz w:val="24"/>
                <w:szCs w:val="24"/>
              </w:rPr>
            </w:pPr>
            <w:r w:rsidRPr="00067005">
              <w:rPr>
                <w:rFonts w:ascii="Arial" w:hAnsi="Arial" w:cs="Arial"/>
                <w:color w:val="000000" w:themeColor="text1"/>
                <w:sz w:val="24"/>
                <w:szCs w:val="24"/>
              </w:rPr>
              <w:t>Reports which have influenced our regulatory approach to reducing inequalities include Out of Sight report and Maternity safety, equity and engagement</w:t>
            </w:r>
          </w:p>
        </w:tc>
        <w:tc>
          <w:tcPr>
            <w:tcW w:w="1559" w:type="dxa"/>
            <w:shd w:val="clear" w:color="auto" w:fill="E7E6E6" w:themeFill="background2"/>
          </w:tcPr>
          <w:p w14:paraId="47630D21" w14:textId="77777777" w:rsidR="003F596D" w:rsidRPr="006E21A3" w:rsidRDefault="003F596D" w:rsidP="008F312F">
            <w:pPr>
              <w:spacing w:line="264" w:lineRule="auto"/>
              <w:rPr>
                <w:rFonts w:ascii="Arial" w:hAnsi="Arial" w:cs="Arial"/>
                <w:color w:val="000000" w:themeColor="text1"/>
                <w:sz w:val="24"/>
                <w:szCs w:val="24"/>
              </w:rPr>
            </w:pPr>
            <w:r>
              <w:rPr>
                <w:rFonts w:ascii="Arial" w:hAnsi="Arial" w:cs="Arial"/>
                <w:color w:val="000000" w:themeColor="text1"/>
                <w:sz w:val="24"/>
                <w:szCs w:val="24"/>
              </w:rPr>
              <w:t>Too early</w:t>
            </w:r>
          </w:p>
        </w:tc>
      </w:tr>
    </w:tbl>
    <w:p w14:paraId="73887D2E" w14:textId="02197059" w:rsidR="003F596D" w:rsidRPr="006E21A3" w:rsidRDefault="003F596D" w:rsidP="003F596D">
      <w:pPr>
        <w:rPr>
          <w:rFonts w:ascii="Arial" w:hAnsi="Arial" w:cs="Arial"/>
        </w:rPr>
      </w:pPr>
    </w:p>
    <w:tbl>
      <w:tblPr>
        <w:tblStyle w:val="TableGrid"/>
        <w:tblpPr w:leftFromText="180" w:rightFromText="180" w:vertAnchor="text" w:tblpY="1"/>
        <w:tblOverlap w:val="never"/>
        <w:tblW w:w="15510" w:type="dxa"/>
        <w:tblLook w:val="04A0" w:firstRow="1" w:lastRow="0" w:firstColumn="1" w:lastColumn="0" w:noHBand="0" w:noVBand="1"/>
      </w:tblPr>
      <w:tblGrid>
        <w:gridCol w:w="2354"/>
        <w:gridCol w:w="1725"/>
        <w:gridCol w:w="3221"/>
        <w:gridCol w:w="6636"/>
        <w:gridCol w:w="1574"/>
      </w:tblGrid>
      <w:tr w:rsidR="0086618B" w:rsidRPr="006E21A3" w14:paraId="0B0F9589" w14:textId="77777777" w:rsidTr="0B070F55">
        <w:tc>
          <w:tcPr>
            <w:tcW w:w="2354" w:type="dxa"/>
          </w:tcPr>
          <w:p w14:paraId="563734F6" w14:textId="77777777" w:rsidR="003F596D" w:rsidRPr="006E21A3" w:rsidRDefault="003F596D" w:rsidP="00A87481">
            <w:pPr>
              <w:pStyle w:val="Heading1"/>
              <w:spacing w:before="0" w:line="420" w:lineRule="atLeast"/>
              <w:ind w:left="357"/>
              <w:outlineLvl w:val="0"/>
              <w:rPr>
                <w:rFonts w:ascii="Arial" w:hAnsi="Arial" w:cs="Arial"/>
                <w:b/>
                <w:bCs/>
                <w:color w:val="000000" w:themeColor="text1"/>
                <w:sz w:val="28"/>
                <w:szCs w:val="28"/>
              </w:rPr>
            </w:pPr>
            <w:r w:rsidRPr="006E21A3">
              <w:rPr>
                <w:rFonts w:ascii="Arial" w:hAnsi="Arial" w:cs="Arial"/>
                <w:b/>
                <w:bCs/>
                <w:color w:val="000000" w:themeColor="text1"/>
                <w:sz w:val="28"/>
                <w:szCs w:val="28"/>
              </w:rPr>
              <w:t>Equality Objective</w:t>
            </w:r>
          </w:p>
        </w:tc>
        <w:tc>
          <w:tcPr>
            <w:tcW w:w="1725" w:type="dxa"/>
          </w:tcPr>
          <w:p w14:paraId="1EF7A6E6" w14:textId="77777777" w:rsidR="003F596D" w:rsidRPr="006E21A3" w:rsidRDefault="003F596D" w:rsidP="008F312F">
            <w:pPr>
              <w:spacing w:line="264" w:lineRule="auto"/>
              <w:rPr>
                <w:rFonts w:ascii="Arial" w:hAnsi="Arial" w:cs="Arial"/>
                <w:sz w:val="28"/>
                <w:szCs w:val="28"/>
              </w:rPr>
            </w:pPr>
            <w:r w:rsidRPr="006E21A3">
              <w:rPr>
                <w:rFonts w:ascii="Arial" w:hAnsi="Arial" w:cs="Arial"/>
                <w:b/>
                <w:bCs/>
                <w:color w:val="000000" w:themeColor="text1"/>
                <w:sz w:val="28"/>
                <w:szCs w:val="28"/>
              </w:rPr>
              <w:t>Reference</w:t>
            </w:r>
          </w:p>
        </w:tc>
        <w:tc>
          <w:tcPr>
            <w:tcW w:w="3221" w:type="dxa"/>
          </w:tcPr>
          <w:p w14:paraId="1DCA7DC1" w14:textId="77777777" w:rsidR="003F596D" w:rsidRPr="006E21A3" w:rsidRDefault="003F596D" w:rsidP="008F312F">
            <w:pPr>
              <w:spacing w:line="264" w:lineRule="auto"/>
              <w:rPr>
                <w:rFonts w:ascii="Arial" w:eastAsia="Times New Roman" w:hAnsi="Arial" w:cs="Arial"/>
                <w:color w:val="212121"/>
                <w:spacing w:val="-5"/>
                <w:sz w:val="28"/>
                <w:szCs w:val="28"/>
                <w:lang w:eastAsia="en-GB"/>
              </w:rPr>
            </w:pPr>
            <w:r w:rsidRPr="006E21A3">
              <w:rPr>
                <w:rFonts w:ascii="Arial" w:hAnsi="Arial" w:cs="Arial"/>
                <w:b/>
                <w:bCs/>
                <w:color w:val="000000" w:themeColor="text1"/>
                <w:sz w:val="28"/>
                <w:szCs w:val="28"/>
              </w:rPr>
              <w:t>Measures</w:t>
            </w:r>
          </w:p>
        </w:tc>
        <w:tc>
          <w:tcPr>
            <w:tcW w:w="6636" w:type="dxa"/>
          </w:tcPr>
          <w:p w14:paraId="7C47116D" w14:textId="77777777" w:rsidR="003F596D" w:rsidRPr="006E21A3" w:rsidRDefault="003F596D" w:rsidP="008F312F">
            <w:pPr>
              <w:spacing w:line="264" w:lineRule="auto"/>
              <w:rPr>
                <w:rFonts w:ascii="Arial" w:hAnsi="Arial" w:cs="Arial"/>
                <w:color w:val="000000" w:themeColor="text1"/>
                <w:sz w:val="28"/>
                <w:szCs w:val="28"/>
              </w:rPr>
            </w:pPr>
            <w:r w:rsidRPr="006E21A3">
              <w:rPr>
                <w:rFonts w:ascii="Arial" w:hAnsi="Arial" w:cs="Arial"/>
                <w:b/>
                <w:bCs/>
                <w:color w:val="000000" w:themeColor="text1"/>
                <w:sz w:val="28"/>
                <w:szCs w:val="28"/>
              </w:rPr>
              <w:t>Performance data</w:t>
            </w:r>
          </w:p>
        </w:tc>
        <w:tc>
          <w:tcPr>
            <w:tcW w:w="1574" w:type="dxa"/>
          </w:tcPr>
          <w:p w14:paraId="4D748B44" w14:textId="77777777" w:rsidR="003F596D" w:rsidRPr="43C25A92" w:rsidRDefault="003F596D" w:rsidP="008F312F">
            <w:pPr>
              <w:spacing w:line="264" w:lineRule="auto"/>
              <w:rPr>
                <w:rFonts w:ascii="Arial" w:hAnsi="Arial" w:cs="Arial"/>
                <w:b/>
                <w:bCs/>
                <w:color w:val="000000" w:themeColor="text1"/>
                <w:sz w:val="28"/>
                <w:szCs w:val="28"/>
              </w:rPr>
            </w:pPr>
            <w:r w:rsidRPr="43C25A92">
              <w:rPr>
                <w:rFonts w:ascii="Arial" w:hAnsi="Arial" w:cs="Arial"/>
                <w:b/>
                <w:bCs/>
                <w:color w:val="000000" w:themeColor="text1"/>
                <w:sz w:val="28"/>
                <w:szCs w:val="28"/>
              </w:rPr>
              <w:t>RAG</w:t>
            </w:r>
          </w:p>
        </w:tc>
      </w:tr>
      <w:tr w:rsidR="0086618B" w:rsidRPr="006E21A3" w14:paraId="1399658D" w14:textId="77777777" w:rsidTr="0B070F55">
        <w:tc>
          <w:tcPr>
            <w:tcW w:w="2354" w:type="dxa"/>
            <w:vMerge w:val="restart"/>
          </w:tcPr>
          <w:p w14:paraId="6FE85679" w14:textId="3A0E2E8D" w:rsidR="003F596D" w:rsidRPr="006E21A3" w:rsidRDefault="00C5134E" w:rsidP="005471CF">
            <w:pPr>
              <w:rPr>
                <w:rFonts w:ascii="Arial" w:hAnsi="Arial" w:cs="Arial"/>
                <w:b/>
                <w:color w:val="000000" w:themeColor="text1"/>
                <w:sz w:val="28"/>
                <w:szCs w:val="28"/>
              </w:rPr>
            </w:pPr>
            <w:r>
              <w:rPr>
                <w:rFonts w:ascii="Arial" w:hAnsi="Arial" w:cs="Arial"/>
                <w:b/>
                <w:color w:val="000000" w:themeColor="text1"/>
                <w:sz w:val="28"/>
                <w:szCs w:val="28"/>
              </w:rPr>
              <w:t xml:space="preserve">5. </w:t>
            </w:r>
            <w:r w:rsidR="003F596D" w:rsidRPr="006E21A3">
              <w:rPr>
                <w:rFonts w:ascii="Arial" w:hAnsi="Arial" w:cs="Arial"/>
                <w:b/>
                <w:color w:val="000000" w:themeColor="text1"/>
                <w:sz w:val="28"/>
                <w:szCs w:val="28"/>
              </w:rPr>
              <w:t>Our inclusive future: delivering on our diversity and inclusion strategy for our workforce</w:t>
            </w:r>
          </w:p>
        </w:tc>
        <w:tc>
          <w:tcPr>
            <w:tcW w:w="1725" w:type="dxa"/>
          </w:tcPr>
          <w:p w14:paraId="3F4A5884" w14:textId="77777777" w:rsidR="003F596D" w:rsidRPr="006E21A3" w:rsidRDefault="003F596D" w:rsidP="008F312F">
            <w:pPr>
              <w:spacing w:line="264" w:lineRule="auto"/>
              <w:rPr>
                <w:rFonts w:ascii="Arial" w:hAnsi="Arial" w:cs="Arial"/>
                <w:color w:val="000000" w:themeColor="text1"/>
                <w:sz w:val="24"/>
                <w:szCs w:val="24"/>
              </w:rPr>
            </w:pPr>
            <w:r w:rsidRPr="006E21A3">
              <w:rPr>
                <w:rFonts w:ascii="Arial" w:hAnsi="Arial" w:cs="Arial"/>
                <w:sz w:val="24"/>
                <w:szCs w:val="24"/>
              </w:rPr>
              <w:t>5.1</w:t>
            </w:r>
          </w:p>
        </w:tc>
        <w:tc>
          <w:tcPr>
            <w:tcW w:w="3221" w:type="dxa"/>
          </w:tcPr>
          <w:p w14:paraId="2232A3D6" w14:textId="77777777" w:rsidR="003F596D" w:rsidRPr="006E21A3" w:rsidRDefault="003F596D" w:rsidP="008F312F">
            <w:pPr>
              <w:spacing w:line="264" w:lineRule="auto"/>
              <w:rPr>
                <w:rFonts w:ascii="Arial" w:hAnsi="Arial" w:cs="Arial"/>
                <w:color w:val="000000" w:themeColor="text1"/>
                <w:sz w:val="24"/>
                <w:szCs w:val="24"/>
              </w:rPr>
            </w:pPr>
            <w:r w:rsidRPr="006E21A3">
              <w:rPr>
                <w:rFonts w:ascii="Arial" w:eastAsia="Times New Roman" w:hAnsi="Arial" w:cs="Arial"/>
                <w:color w:val="212121"/>
                <w:spacing w:val="-5"/>
                <w:sz w:val="24"/>
                <w:szCs w:val="24"/>
                <w:lang w:eastAsia="en-GB"/>
              </w:rPr>
              <w:t>By March 2025 we will have increased representation of colleagues from Black and minority ethnic groups/ communities at all levels of CQC to at least match the economically active population levels and increase the proportion of colleagues from Black and minority ethnic groups/ communities progressing from application to shortlisting to offer, for all internal and external recruitment.</w:t>
            </w:r>
          </w:p>
        </w:tc>
        <w:tc>
          <w:tcPr>
            <w:tcW w:w="6636" w:type="dxa"/>
          </w:tcPr>
          <w:p w14:paraId="0BC40117" w14:textId="62C29718" w:rsidR="003F596D" w:rsidRPr="006E21A3" w:rsidRDefault="003F596D" w:rsidP="008F312F">
            <w:pPr>
              <w:spacing w:line="264" w:lineRule="auto"/>
              <w:rPr>
                <w:rFonts w:ascii="Arial" w:eastAsia="Arial" w:hAnsi="Arial" w:cs="Arial"/>
              </w:rPr>
            </w:pPr>
            <w:r w:rsidRPr="7EC14A2E">
              <w:rPr>
                <w:rFonts w:ascii="Arial" w:eastAsia="Arial" w:hAnsi="Arial" w:cs="Arial"/>
                <w:color w:val="000000" w:themeColor="text1"/>
                <w:sz w:val="24"/>
                <w:szCs w:val="24"/>
              </w:rPr>
              <w:t xml:space="preserve">The Workforce Race Equality Standard (WRES) Annual Report 2021 shows </w:t>
            </w:r>
            <w:r w:rsidR="00CC1E00">
              <w:rPr>
                <w:rFonts w:ascii="Arial" w:eastAsia="Arial" w:hAnsi="Arial" w:cs="Arial"/>
                <w:color w:val="000000" w:themeColor="text1"/>
                <w:sz w:val="24"/>
                <w:szCs w:val="24"/>
              </w:rPr>
              <w:t xml:space="preserve">representation of </w:t>
            </w:r>
            <w:r w:rsidRPr="7EC14A2E">
              <w:rPr>
                <w:rFonts w:ascii="Arial" w:eastAsia="Arial" w:hAnsi="Arial" w:cs="Arial"/>
                <w:sz w:val="24"/>
                <w:szCs w:val="24"/>
              </w:rPr>
              <w:t xml:space="preserve">Black and Minority Ethnic </w:t>
            </w:r>
            <w:r w:rsidR="00CC1E00">
              <w:rPr>
                <w:rFonts w:ascii="Arial" w:eastAsia="Arial" w:hAnsi="Arial" w:cs="Arial"/>
                <w:sz w:val="24"/>
                <w:szCs w:val="24"/>
              </w:rPr>
              <w:t>colleagues</w:t>
            </w:r>
            <w:r w:rsidRPr="7EC14A2E">
              <w:rPr>
                <w:rFonts w:ascii="Arial" w:eastAsia="Arial" w:hAnsi="Arial" w:cs="Arial"/>
                <w:sz w:val="24"/>
                <w:szCs w:val="24"/>
              </w:rPr>
              <w:t xml:space="preserve"> across CQC has increased by 1 percentage point in 2021 to 13.8% (the economically active population is 13%). This includes minor increases to representation </w:t>
            </w:r>
            <w:r w:rsidR="00D93B6B">
              <w:rPr>
                <w:rFonts w:ascii="Arial" w:eastAsia="Arial" w:hAnsi="Arial" w:cs="Arial"/>
                <w:sz w:val="24"/>
                <w:szCs w:val="24"/>
              </w:rPr>
              <w:t xml:space="preserve">of </w:t>
            </w:r>
            <w:r w:rsidR="00D93B6B" w:rsidRPr="7EC14A2E">
              <w:rPr>
                <w:rFonts w:ascii="Arial" w:eastAsia="Arial" w:hAnsi="Arial" w:cs="Arial"/>
                <w:sz w:val="24"/>
                <w:szCs w:val="24"/>
              </w:rPr>
              <w:t xml:space="preserve">Black and Minority Ethnic </w:t>
            </w:r>
            <w:r w:rsidR="00D93B6B">
              <w:rPr>
                <w:rFonts w:ascii="Arial" w:eastAsia="Arial" w:hAnsi="Arial" w:cs="Arial"/>
                <w:sz w:val="24"/>
                <w:szCs w:val="24"/>
              </w:rPr>
              <w:t xml:space="preserve">colleagues </w:t>
            </w:r>
            <w:r w:rsidRPr="7EC14A2E">
              <w:rPr>
                <w:rFonts w:ascii="Arial" w:eastAsia="Arial" w:hAnsi="Arial" w:cs="Arial"/>
                <w:sz w:val="24"/>
                <w:szCs w:val="24"/>
              </w:rPr>
              <w:t>at Grade A and Executive Grades (by +0.5% for grade A and +1.2% for Exec grades).</w:t>
            </w:r>
            <w:r w:rsidR="0010647D">
              <w:rPr>
                <w:rFonts w:ascii="Arial" w:eastAsia="Arial" w:hAnsi="Arial" w:cs="Arial"/>
                <w:sz w:val="24"/>
                <w:szCs w:val="24"/>
              </w:rPr>
              <w:t xml:space="preserve"> </w:t>
            </w:r>
          </w:p>
          <w:p w14:paraId="796A999B" w14:textId="77777777" w:rsidR="003F596D" w:rsidRPr="006E21A3" w:rsidRDefault="003F596D" w:rsidP="008F312F">
            <w:pPr>
              <w:spacing w:line="264" w:lineRule="auto"/>
              <w:rPr>
                <w:rFonts w:ascii="Arial" w:eastAsia="Arial" w:hAnsi="Arial" w:cs="Arial"/>
                <w:sz w:val="24"/>
                <w:szCs w:val="24"/>
              </w:rPr>
            </w:pPr>
          </w:p>
          <w:p w14:paraId="775204D1" w14:textId="3A546270" w:rsidR="00CA53B7" w:rsidRDefault="00CA53B7" w:rsidP="00CA53B7">
            <w:pPr>
              <w:spacing w:line="264" w:lineRule="auto"/>
              <w:rPr>
                <w:rFonts w:ascii="Arial" w:eastAsia="Arial" w:hAnsi="Arial" w:cs="Arial"/>
                <w:sz w:val="24"/>
                <w:szCs w:val="24"/>
              </w:rPr>
            </w:pPr>
            <w:r w:rsidRPr="43C25A92">
              <w:rPr>
                <w:rFonts w:ascii="Arial" w:eastAsia="Arial" w:hAnsi="Arial" w:cs="Arial"/>
                <w:color w:val="000000" w:themeColor="text1"/>
                <w:sz w:val="24"/>
                <w:szCs w:val="24"/>
              </w:rPr>
              <w:t xml:space="preserve">The Workforce Race Equality Standard (WRES) Annual Report 2021 indicates </w:t>
            </w:r>
            <w:r w:rsidRPr="43C25A92">
              <w:rPr>
                <w:rFonts w:ascii="Arial" w:eastAsia="Arial" w:hAnsi="Arial" w:cs="Arial"/>
                <w:sz w:val="24"/>
                <w:szCs w:val="24"/>
              </w:rPr>
              <w:t>that Black and Minority Ethnic colleagues are less likely to be appointed from shortlisting compared to white colleagues. The figure has got worse compared to last year’s report which was 1.088 (this year 1.432). The figure is now outside the ‘non-adverse’ range (the non-adverse range is between 0.80-1.25, meaning any figure outside of this is significant).</w:t>
            </w:r>
          </w:p>
          <w:p w14:paraId="06954607" w14:textId="208FC502" w:rsidR="003F596D" w:rsidRPr="006E21A3" w:rsidRDefault="003F596D" w:rsidP="00EC5ADB">
            <w:pPr>
              <w:spacing w:line="264" w:lineRule="auto"/>
              <w:rPr>
                <w:rFonts w:ascii="Arial" w:eastAsia="Arial" w:hAnsi="Arial" w:cs="Arial"/>
                <w:sz w:val="24"/>
                <w:szCs w:val="24"/>
              </w:rPr>
            </w:pPr>
          </w:p>
        </w:tc>
        <w:tc>
          <w:tcPr>
            <w:tcW w:w="1574" w:type="dxa"/>
            <w:shd w:val="clear" w:color="auto" w:fill="FFC000" w:themeFill="accent4"/>
          </w:tcPr>
          <w:p w14:paraId="3C647FFD" w14:textId="77777777" w:rsidR="003F596D" w:rsidRDefault="003F596D" w:rsidP="008F312F">
            <w:pPr>
              <w:spacing w:line="264" w:lineRule="auto"/>
              <w:rPr>
                <w:rFonts w:ascii="Arial" w:eastAsia="Arial" w:hAnsi="Arial" w:cs="Arial"/>
                <w:color w:val="000000" w:themeColor="text1"/>
                <w:sz w:val="24"/>
                <w:szCs w:val="24"/>
              </w:rPr>
            </w:pPr>
          </w:p>
          <w:p w14:paraId="27AC2F25" w14:textId="26CC8738" w:rsidR="00707EC5" w:rsidRDefault="00707EC5" w:rsidP="008F312F">
            <w:pPr>
              <w:spacing w:line="264" w:lineRule="auto"/>
              <w:rPr>
                <w:rFonts w:ascii="Arial" w:eastAsia="Arial" w:hAnsi="Arial" w:cs="Arial"/>
                <w:color w:val="000000" w:themeColor="text1"/>
                <w:sz w:val="24"/>
                <w:szCs w:val="24"/>
              </w:rPr>
            </w:pPr>
            <w:r>
              <w:rPr>
                <w:rFonts w:ascii="Arial" w:eastAsia="Arial" w:hAnsi="Arial" w:cs="Arial"/>
                <w:color w:val="000000" w:themeColor="text1"/>
                <w:sz w:val="24"/>
                <w:szCs w:val="24"/>
              </w:rPr>
              <w:t>Amber</w:t>
            </w:r>
          </w:p>
        </w:tc>
      </w:tr>
      <w:tr w:rsidR="0086618B" w:rsidRPr="006E21A3" w14:paraId="31A18274" w14:textId="77777777" w:rsidTr="0B070F55">
        <w:tc>
          <w:tcPr>
            <w:tcW w:w="2354" w:type="dxa"/>
            <w:vMerge/>
          </w:tcPr>
          <w:p w14:paraId="7ED99428" w14:textId="77777777" w:rsidR="003F596D" w:rsidRPr="006E21A3" w:rsidRDefault="003F596D" w:rsidP="008F312F">
            <w:pPr>
              <w:pStyle w:val="Heading1"/>
              <w:spacing w:line="420" w:lineRule="atLeast"/>
              <w:ind w:left="360"/>
              <w:outlineLvl w:val="0"/>
              <w:rPr>
                <w:rFonts w:ascii="Arial" w:hAnsi="Arial" w:cs="Arial"/>
                <w:b/>
                <w:bCs/>
                <w:color w:val="000000" w:themeColor="text1"/>
                <w:sz w:val="28"/>
                <w:szCs w:val="28"/>
              </w:rPr>
            </w:pPr>
          </w:p>
        </w:tc>
        <w:tc>
          <w:tcPr>
            <w:tcW w:w="1725" w:type="dxa"/>
          </w:tcPr>
          <w:p w14:paraId="7C15BCBC" w14:textId="77777777" w:rsidR="003F596D" w:rsidRPr="006E21A3" w:rsidRDefault="003F596D" w:rsidP="008F312F">
            <w:pPr>
              <w:spacing w:line="264" w:lineRule="auto"/>
              <w:rPr>
                <w:rFonts w:ascii="Arial" w:hAnsi="Arial" w:cs="Arial"/>
                <w:color w:val="000000" w:themeColor="text1"/>
                <w:sz w:val="24"/>
                <w:szCs w:val="24"/>
              </w:rPr>
            </w:pPr>
            <w:r w:rsidRPr="006E21A3">
              <w:rPr>
                <w:rFonts w:ascii="Arial" w:hAnsi="Arial" w:cs="Arial"/>
                <w:sz w:val="24"/>
                <w:szCs w:val="24"/>
              </w:rPr>
              <w:t>5.2</w:t>
            </w:r>
          </w:p>
        </w:tc>
        <w:tc>
          <w:tcPr>
            <w:tcW w:w="3221" w:type="dxa"/>
          </w:tcPr>
          <w:p w14:paraId="68F68263" w14:textId="77777777" w:rsidR="003F596D" w:rsidRPr="006E21A3" w:rsidRDefault="003F596D" w:rsidP="008F312F">
            <w:pPr>
              <w:spacing w:line="264" w:lineRule="auto"/>
              <w:rPr>
                <w:rFonts w:ascii="Arial" w:hAnsi="Arial" w:cs="Arial"/>
                <w:color w:val="000000" w:themeColor="text1"/>
                <w:sz w:val="24"/>
                <w:szCs w:val="24"/>
              </w:rPr>
            </w:pPr>
            <w:r w:rsidRPr="006E21A3">
              <w:rPr>
                <w:rFonts w:ascii="Arial" w:eastAsia="Times New Roman" w:hAnsi="Arial" w:cs="Arial"/>
                <w:color w:val="212121"/>
                <w:spacing w:val="-5"/>
                <w:sz w:val="24"/>
                <w:szCs w:val="24"/>
                <w:lang w:eastAsia="en-GB"/>
              </w:rPr>
              <w:t xml:space="preserve">By March 2022, colleagues from Black and minority ethnic groups/ communities will experience equal opportunities for career progression, promotion and development; as measured by internal recruitment outcomes, access to funded </w:t>
            </w:r>
            <w:r w:rsidRPr="006E21A3">
              <w:rPr>
                <w:rFonts w:ascii="Arial" w:eastAsia="Times New Roman" w:hAnsi="Arial" w:cs="Arial"/>
                <w:color w:val="212121"/>
                <w:spacing w:val="-5"/>
                <w:sz w:val="24"/>
                <w:szCs w:val="24"/>
                <w:lang w:eastAsia="en-GB"/>
              </w:rPr>
              <w:lastRenderedPageBreak/>
              <w:t>learning opportunities and survey data.</w:t>
            </w:r>
          </w:p>
        </w:tc>
        <w:tc>
          <w:tcPr>
            <w:tcW w:w="6636" w:type="dxa"/>
          </w:tcPr>
          <w:p w14:paraId="53F5072D" w14:textId="269B9752" w:rsidR="003F596D" w:rsidRPr="006E21A3" w:rsidRDefault="003F596D" w:rsidP="008F312F">
            <w:pPr>
              <w:spacing w:line="264" w:lineRule="auto"/>
              <w:rPr>
                <w:rFonts w:ascii="Arial" w:eastAsia="Arial" w:hAnsi="Arial" w:cs="Arial"/>
                <w:sz w:val="24"/>
                <w:szCs w:val="24"/>
                <w:lang w:val="en-US"/>
              </w:rPr>
            </w:pPr>
            <w:r w:rsidRPr="6BCDABEA">
              <w:rPr>
                <w:rFonts w:ascii="Arial" w:eastAsia="Arial" w:hAnsi="Arial" w:cs="Arial"/>
                <w:color w:val="000000" w:themeColor="text1"/>
                <w:sz w:val="24"/>
                <w:szCs w:val="24"/>
                <w:lang w:val="en-US"/>
              </w:rPr>
              <w:lastRenderedPageBreak/>
              <w:t xml:space="preserve">Black and Minority Ethnic colleagues are more likely to access the Individual Learning Request (ILR) process. </w:t>
            </w:r>
            <w:r w:rsidRPr="6BCDABEA">
              <w:rPr>
                <w:rFonts w:ascii="Arial" w:eastAsia="Arial" w:hAnsi="Arial" w:cs="Arial"/>
                <w:sz w:val="24"/>
                <w:szCs w:val="24"/>
                <w:lang w:val="en-US"/>
              </w:rPr>
              <w:t xml:space="preserve">The figure (0.667) has significantly improved on 2020’s figure of 1.467. This is due to both an increase of applications </w:t>
            </w:r>
            <w:r w:rsidR="00AD11F8">
              <w:rPr>
                <w:rFonts w:ascii="Arial" w:eastAsia="Arial" w:hAnsi="Arial" w:cs="Arial"/>
                <w:sz w:val="24"/>
                <w:szCs w:val="24"/>
                <w:lang w:val="en-US"/>
              </w:rPr>
              <w:t xml:space="preserve">from colleagues with a Black or </w:t>
            </w:r>
            <w:r w:rsidR="00633160">
              <w:rPr>
                <w:rFonts w:ascii="Arial" w:eastAsia="Arial" w:hAnsi="Arial" w:cs="Arial"/>
                <w:sz w:val="24"/>
                <w:szCs w:val="24"/>
                <w:lang w:val="en-US"/>
              </w:rPr>
              <w:t>M</w:t>
            </w:r>
            <w:r w:rsidR="00AD11F8">
              <w:rPr>
                <w:rFonts w:ascii="Arial" w:eastAsia="Arial" w:hAnsi="Arial" w:cs="Arial"/>
                <w:sz w:val="24"/>
                <w:szCs w:val="24"/>
                <w:lang w:val="en-US"/>
              </w:rPr>
              <w:t xml:space="preserve">inority </w:t>
            </w:r>
            <w:r w:rsidR="00633160">
              <w:rPr>
                <w:rFonts w:ascii="Arial" w:eastAsia="Arial" w:hAnsi="Arial" w:cs="Arial"/>
                <w:sz w:val="24"/>
                <w:szCs w:val="24"/>
                <w:lang w:val="en-US"/>
              </w:rPr>
              <w:t>Ethnic</w:t>
            </w:r>
            <w:r w:rsidR="00AD11F8">
              <w:rPr>
                <w:rFonts w:ascii="Arial" w:eastAsia="Arial" w:hAnsi="Arial" w:cs="Arial"/>
                <w:sz w:val="24"/>
                <w:szCs w:val="24"/>
                <w:lang w:val="en-US"/>
              </w:rPr>
              <w:t xml:space="preserve"> background </w:t>
            </w:r>
            <w:r w:rsidRPr="6BCDABEA">
              <w:rPr>
                <w:rFonts w:ascii="Arial" w:eastAsia="Arial" w:hAnsi="Arial" w:cs="Arial"/>
                <w:sz w:val="24"/>
                <w:szCs w:val="24"/>
                <w:lang w:val="en-US"/>
              </w:rPr>
              <w:t>and a decrease in applications</w:t>
            </w:r>
            <w:r w:rsidR="00633160">
              <w:rPr>
                <w:rFonts w:ascii="Arial" w:eastAsia="Arial" w:hAnsi="Arial" w:cs="Arial"/>
                <w:sz w:val="24"/>
                <w:szCs w:val="24"/>
                <w:lang w:val="en-US"/>
              </w:rPr>
              <w:t xml:space="preserve"> from colleagues with a white background</w:t>
            </w:r>
            <w:r w:rsidRPr="6BCDABEA">
              <w:rPr>
                <w:rFonts w:ascii="Arial" w:eastAsia="Arial" w:hAnsi="Arial" w:cs="Arial"/>
                <w:sz w:val="24"/>
                <w:szCs w:val="24"/>
                <w:lang w:val="en-US"/>
              </w:rPr>
              <w:t xml:space="preserve">. Based on headcount, </w:t>
            </w:r>
            <w:r w:rsidRPr="6BCDABEA">
              <w:rPr>
                <w:rFonts w:ascii="Arial" w:eastAsia="Arial" w:hAnsi="Arial" w:cs="Arial"/>
                <w:color w:val="000000" w:themeColor="text1"/>
                <w:sz w:val="24"/>
                <w:szCs w:val="24"/>
                <w:lang w:val="en-US"/>
              </w:rPr>
              <w:t xml:space="preserve">Black and Minority Ethnic </w:t>
            </w:r>
            <w:r w:rsidRPr="6BCDABEA">
              <w:rPr>
                <w:rFonts w:ascii="Arial" w:eastAsia="Arial" w:hAnsi="Arial" w:cs="Arial"/>
                <w:sz w:val="24"/>
                <w:szCs w:val="24"/>
                <w:lang w:val="en-US"/>
              </w:rPr>
              <w:t xml:space="preserve">colleagues were more likely to submit an ILR this year than in 2019-20 (18.4% of applications were from </w:t>
            </w:r>
            <w:r w:rsidRPr="6BCDABEA">
              <w:rPr>
                <w:rFonts w:ascii="Arial" w:eastAsia="Arial" w:hAnsi="Arial" w:cs="Arial"/>
                <w:color w:val="000000" w:themeColor="text1"/>
                <w:sz w:val="24"/>
                <w:szCs w:val="24"/>
                <w:lang w:val="en-US"/>
              </w:rPr>
              <w:t xml:space="preserve">Black and Minority Ethnic </w:t>
            </w:r>
            <w:r w:rsidRPr="6BCDABEA">
              <w:rPr>
                <w:rFonts w:ascii="Arial" w:eastAsia="Arial" w:hAnsi="Arial" w:cs="Arial"/>
                <w:sz w:val="24"/>
                <w:szCs w:val="24"/>
                <w:lang w:val="en-US"/>
              </w:rPr>
              <w:t xml:space="preserve">colleagues compared to 9.2% for the </w:t>
            </w:r>
            <w:r w:rsidRPr="6BCDABEA">
              <w:rPr>
                <w:rFonts w:ascii="Arial" w:eastAsia="Arial" w:hAnsi="Arial" w:cs="Arial"/>
                <w:sz w:val="24"/>
                <w:szCs w:val="24"/>
                <w:lang w:val="en-US"/>
              </w:rPr>
              <w:lastRenderedPageBreak/>
              <w:t xml:space="preserve">previous year). There is little difference in having an ILR approved between the groups (85% for white, 84% for </w:t>
            </w:r>
            <w:r w:rsidRPr="6BCDABEA">
              <w:rPr>
                <w:rFonts w:ascii="Arial" w:eastAsia="Arial" w:hAnsi="Arial" w:cs="Arial"/>
                <w:color w:val="000000" w:themeColor="text1"/>
                <w:sz w:val="24"/>
                <w:szCs w:val="24"/>
                <w:lang w:val="en-US"/>
              </w:rPr>
              <w:t>Black and Minority Ethnic</w:t>
            </w:r>
            <w:r w:rsidR="002C3E2A">
              <w:rPr>
                <w:rFonts w:ascii="Arial" w:eastAsia="Arial" w:hAnsi="Arial" w:cs="Arial"/>
                <w:color w:val="000000" w:themeColor="text1"/>
                <w:sz w:val="24"/>
                <w:szCs w:val="24"/>
                <w:lang w:val="en-US"/>
              </w:rPr>
              <w:t xml:space="preserve"> people</w:t>
            </w:r>
            <w:r w:rsidRPr="6BCDABEA">
              <w:rPr>
                <w:rFonts w:ascii="Arial" w:eastAsia="Arial" w:hAnsi="Arial" w:cs="Arial"/>
                <w:sz w:val="24"/>
                <w:szCs w:val="24"/>
                <w:lang w:val="en-US"/>
              </w:rPr>
              <w:t>).</w:t>
            </w:r>
          </w:p>
          <w:p w14:paraId="7A2122CF" w14:textId="77777777" w:rsidR="003F596D" w:rsidRDefault="003F596D" w:rsidP="008F312F">
            <w:pPr>
              <w:spacing w:line="264" w:lineRule="auto"/>
              <w:rPr>
                <w:rFonts w:ascii="Arial" w:eastAsia="Arial" w:hAnsi="Arial" w:cs="Arial"/>
                <w:sz w:val="24"/>
                <w:szCs w:val="24"/>
                <w:lang w:val="en-US"/>
              </w:rPr>
            </w:pPr>
          </w:p>
          <w:p w14:paraId="64415AC1" w14:textId="77777777" w:rsidR="003F596D" w:rsidRDefault="003F596D" w:rsidP="008F312F">
            <w:pPr>
              <w:spacing w:line="264" w:lineRule="auto"/>
              <w:rPr>
                <w:rFonts w:ascii="Arial" w:eastAsia="Arial" w:hAnsi="Arial" w:cs="Arial"/>
                <w:sz w:val="24"/>
                <w:szCs w:val="24"/>
              </w:rPr>
            </w:pPr>
            <w:r w:rsidRPr="3F8D6565">
              <w:rPr>
                <w:rFonts w:ascii="Arial" w:eastAsia="Arial" w:hAnsi="Arial" w:cs="Arial"/>
                <w:sz w:val="24"/>
                <w:szCs w:val="24"/>
                <w:lang w:val="en-US"/>
              </w:rPr>
              <w:t xml:space="preserve">Black and Minority Ethnic respondents </w:t>
            </w:r>
            <w:r w:rsidRPr="6FDABD3E">
              <w:rPr>
                <w:rFonts w:ascii="Arial" w:eastAsia="Arial" w:hAnsi="Arial" w:cs="Arial"/>
                <w:sz w:val="24"/>
                <w:szCs w:val="24"/>
                <w:lang w:val="en-US"/>
              </w:rPr>
              <w:t xml:space="preserve">(38.2%) </w:t>
            </w:r>
            <w:r w:rsidRPr="3F8D6565">
              <w:rPr>
                <w:rFonts w:ascii="Arial" w:eastAsia="Arial" w:hAnsi="Arial" w:cs="Arial"/>
                <w:sz w:val="24"/>
                <w:szCs w:val="24"/>
                <w:lang w:val="en-US"/>
              </w:rPr>
              <w:t>are less likely to believe that CQC provides equal opportunities for career progression or promotion than white respondents</w:t>
            </w:r>
            <w:r w:rsidRPr="6FDABD3E">
              <w:rPr>
                <w:rFonts w:ascii="Arial" w:eastAsia="Arial" w:hAnsi="Arial" w:cs="Arial"/>
                <w:sz w:val="24"/>
                <w:szCs w:val="24"/>
                <w:lang w:val="en-US"/>
              </w:rPr>
              <w:t xml:space="preserve"> (51.7%). </w:t>
            </w:r>
            <w:r w:rsidRPr="6FDABD3E">
              <w:rPr>
                <w:rFonts w:ascii="Arial" w:eastAsia="Arial" w:hAnsi="Arial" w:cs="Arial"/>
                <w:sz w:val="24"/>
                <w:szCs w:val="24"/>
              </w:rPr>
              <w:t>Black and Minority Ethnic respondents’ score has improved from 2020’s report (taken from the November 2019 People Survey) whereas the equivalent score for white respondents saw a minor decrease.</w:t>
            </w:r>
          </w:p>
          <w:p w14:paraId="77CDCA1C" w14:textId="77777777" w:rsidR="003F596D" w:rsidRPr="006E21A3" w:rsidRDefault="003F596D" w:rsidP="008F312F">
            <w:pPr>
              <w:spacing w:line="264" w:lineRule="auto"/>
              <w:rPr>
                <w:rFonts w:ascii="Arial" w:eastAsia="Arial" w:hAnsi="Arial" w:cs="Arial"/>
                <w:color w:val="000000" w:themeColor="text1"/>
                <w:sz w:val="24"/>
                <w:szCs w:val="24"/>
              </w:rPr>
            </w:pPr>
          </w:p>
        </w:tc>
        <w:tc>
          <w:tcPr>
            <w:tcW w:w="1574" w:type="dxa"/>
            <w:shd w:val="clear" w:color="auto" w:fill="FFC000" w:themeFill="accent4"/>
          </w:tcPr>
          <w:p w14:paraId="47B38815" w14:textId="77777777" w:rsidR="003F596D" w:rsidRDefault="003F596D" w:rsidP="008F312F">
            <w:pPr>
              <w:spacing w:line="264" w:lineRule="auto"/>
              <w:rPr>
                <w:rFonts w:ascii="Arial" w:eastAsia="Arial" w:hAnsi="Arial" w:cs="Arial"/>
                <w:color w:val="000000" w:themeColor="text1"/>
                <w:sz w:val="24"/>
                <w:szCs w:val="24"/>
              </w:rPr>
            </w:pPr>
          </w:p>
          <w:p w14:paraId="2CCF8EAE" w14:textId="134E9645" w:rsidR="00707EC5" w:rsidRDefault="00707EC5" w:rsidP="008F312F">
            <w:pPr>
              <w:spacing w:line="264" w:lineRule="auto"/>
              <w:rPr>
                <w:rFonts w:ascii="Arial" w:eastAsia="Arial" w:hAnsi="Arial" w:cs="Arial"/>
                <w:color w:val="000000" w:themeColor="text1"/>
                <w:sz w:val="24"/>
                <w:szCs w:val="24"/>
              </w:rPr>
            </w:pPr>
            <w:r>
              <w:rPr>
                <w:rFonts w:ascii="Arial" w:eastAsia="Arial" w:hAnsi="Arial" w:cs="Arial"/>
                <w:color w:val="000000" w:themeColor="text1"/>
                <w:sz w:val="24"/>
                <w:szCs w:val="24"/>
              </w:rPr>
              <w:t>Amber</w:t>
            </w:r>
          </w:p>
        </w:tc>
      </w:tr>
      <w:tr w:rsidR="0086618B" w:rsidRPr="006E21A3" w14:paraId="7B77286C" w14:textId="77777777" w:rsidTr="0B070F55">
        <w:tc>
          <w:tcPr>
            <w:tcW w:w="2354" w:type="dxa"/>
            <w:vMerge/>
          </w:tcPr>
          <w:p w14:paraId="1C165C6E" w14:textId="77777777" w:rsidR="003F596D" w:rsidRPr="006E21A3" w:rsidRDefault="003F596D" w:rsidP="008F312F">
            <w:pPr>
              <w:pStyle w:val="Heading1"/>
              <w:spacing w:line="420" w:lineRule="atLeast"/>
              <w:ind w:left="360"/>
              <w:outlineLvl w:val="0"/>
              <w:rPr>
                <w:rFonts w:ascii="Arial" w:hAnsi="Arial" w:cs="Arial"/>
                <w:b/>
                <w:bCs/>
                <w:color w:val="000000" w:themeColor="text1"/>
                <w:sz w:val="28"/>
                <w:szCs w:val="28"/>
              </w:rPr>
            </w:pPr>
          </w:p>
        </w:tc>
        <w:tc>
          <w:tcPr>
            <w:tcW w:w="1725" w:type="dxa"/>
          </w:tcPr>
          <w:p w14:paraId="20E4BBF5" w14:textId="77777777" w:rsidR="003F596D" w:rsidRPr="006E21A3" w:rsidRDefault="003F596D" w:rsidP="008F312F">
            <w:pPr>
              <w:spacing w:line="264" w:lineRule="auto"/>
              <w:rPr>
                <w:rFonts w:ascii="Arial" w:hAnsi="Arial" w:cs="Arial"/>
                <w:color w:val="000000" w:themeColor="text1"/>
                <w:sz w:val="24"/>
                <w:szCs w:val="24"/>
              </w:rPr>
            </w:pPr>
            <w:r w:rsidRPr="006E21A3">
              <w:rPr>
                <w:rFonts w:ascii="Arial" w:hAnsi="Arial" w:cs="Arial"/>
                <w:sz w:val="24"/>
                <w:szCs w:val="24"/>
              </w:rPr>
              <w:t>5.3</w:t>
            </w:r>
          </w:p>
        </w:tc>
        <w:tc>
          <w:tcPr>
            <w:tcW w:w="3221" w:type="dxa"/>
          </w:tcPr>
          <w:p w14:paraId="020B713C" w14:textId="77777777" w:rsidR="003F596D" w:rsidRPr="006E21A3" w:rsidRDefault="003F596D" w:rsidP="008F312F">
            <w:pPr>
              <w:spacing w:line="264" w:lineRule="auto"/>
              <w:rPr>
                <w:rFonts w:ascii="Arial" w:hAnsi="Arial" w:cs="Arial"/>
                <w:color w:val="000000" w:themeColor="text1"/>
                <w:sz w:val="24"/>
                <w:szCs w:val="24"/>
              </w:rPr>
            </w:pPr>
            <w:r w:rsidRPr="006E21A3">
              <w:rPr>
                <w:rFonts w:ascii="Arial" w:eastAsia="Times New Roman" w:hAnsi="Arial" w:cs="Arial"/>
                <w:color w:val="212121"/>
                <w:spacing w:val="-5"/>
                <w:sz w:val="24"/>
                <w:szCs w:val="24"/>
                <w:lang w:eastAsia="en-GB"/>
              </w:rPr>
              <w:t>Year-on-year reduction in the proportion of colleagues from Black and minority ethnic groups/ communities reporting that they have personally experienced discrimination of any form.</w:t>
            </w:r>
          </w:p>
        </w:tc>
        <w:tc>
          <w:tcPr>
            <w:tcW w:w="6636" w:type="dxa"/>
          </w:tcPr>
          <w:p w14:paraId="0C03CC5D" w14:textId="62D49CA9" w:rsidR="003F596D" w:rsidRDefault="003F596D" w:rsidP="008F312F">
            <w:pPr>
              <w:spacing w:line="264" w:lineRule="auto"/>
              <w:rPr>
                <w:rFonts w:ascii="Arial" w:eastAsia="Arial" w:hAnsi="Arial" w:cs="Arial"/>
                <w:sz w:val="24"/>
                <w:szCs w:val="24"/>
              </w:rPr>
            </w:pPr>
            <w:r w:rsidRPr="0587EF74">
              <w:rPr>
                <w:rFonts w:ascii="Arial" w:eastAsia="Arial" w:hAnsi="Arial" w:cs="Arial"/>
                <w:color w:val="000000" w:themeColor="text1"/>
                <w:sz w:val="24"/>
                <w:szCs w:val="24"/>
              </w:rPr>
              <w:t xml:space="preserve">The Workforce Race Equality Standard (WRES) Annual Report 2021 indicates </w:t>
            </w:r>
            <w:r w:rsidRPr="0587EF74">
              <w:rPr>
                <w:rFonts w:ascii="Arial" w:eastAsia="Arial" w:hAnsi="Arial" w:cs="Arial"/>
                <w:sz w:val="24"/>
                <w:szCs w:val="24"/>
              </w:rPr>
              <w:t xml:space="preserve">Black and Minority respondents are </w:t>
            </w:r>
            <w:r w:rsidRPr="312E0A5E">
              <w:rPr>
                <w:rFonts w:ascii="Arial" w:eastAsia="Arial" w:hAnsi="Arial" w:cs="Arial"/>
                <w:sz w:val="24"/>
                <w:szCs w:val="24"/>
              </w:rPr>
              <w:t>more</w:t>
            </w:r>
            <w:r w:rsidRPr="0587EF74">
              <w:rPr>
                <w:rFonts w:ascii="Arial" w:eastAsia="Arial" w:hAnsi="Arial" w:cs="Arial"/>
                <w:sz w:val="24"/>
                <w:szCs w:val="24"/>
              </w:rPr>
              <w:t xml:space="preserve"> likely to experience </w:t>
            </w:r>
            <w:r w:rsidRPr="312E0A5E">
              <w:rPr>
                <w:rFonts w:ascii="Arial" w:eastAsia="Arial" w:hAnsi="Arial" w:cs="Arial"/>
                <w:sz w:val="24"/>
                <w:szCs w:val="24"/>
              </w:rPr>
              <w:t>discrimination</w:t>
            </w:r>
            <w:r w:rsidRPr="0587EF74">
              <w:rPr>
                <w:rFonts w:ascii="Arial" w:eastAsia="Arial" w:hAnsi="Arial" w:cs="Arial"/>
                <w:sz w:val="24"/>
                <w:szCs w:val="24"/>
              </w:rPr>
              <w:t xml:space="preserve"> from </w:t>
            </w:r>
            <w:r w:rsidRPr="312E0A5E">
              <w:rPr>
                <w:rFonts w:ascii="Arial" w:eastAsia="Arial" w:hAnsi="Arial" w:cs="Arial"/>
                <w:sz w:val="24"/>
                <w:szCs w:val="24"/>
              </w:rPr>
              <w:t>managers, team leaders or other colleagues</w:t>
            </w:r>
            <w:r w:rsidR="00C87F61">
              <w:rPr>
                <w:rFonts w:ascii="Arial" w:eastAsia="Arial" w:hAnsi="Arial" w:cs="Arial"/>
                <w:sz w:val="24"/>
                <w:szCs w:val="24"/>
              </w:rPr>
              <w:t xml:space="preserve"> </w:t>
            </w:r>
            <w:r w:rsidR="00C87F61" w:rsidRPr="0D7610B9">
              <w:rPr>
                <w:rFonts w:ascii="Arial" w:eastAsia="Arial" w:hAnsi="Arial" w:cs="Arial"/>
                <w:sz w:val="24"/>
                <w:szCs w:val="24"/>
              </w:rPr>
              <w:t>(</w:t>
            </w:r>
            <w:r w:rsidR="00C87F61" w:rsidRPr="312E0A5E">
              <w:rPr>
                <w:rFonts w:ascii="Arial" w:eastAsia="Arial" w:hAnsi="Arial" w:cs="Arial"/>
                <w:sz w:val="24"/>
                <w:szCs w:val="24"/>
              </w:rPr>
              <w:t>11.5</w:t>
            </w:r>
            <w:r w:rsidR="00C87F61" w:rsidRPr="38FF9EAF">
              <w:rPr>
                <w:rFonts w:ascii="Arial" w:eastAsia="Arial" w:hAnsi="Arial" w:cs="Arial"/>
                <w:sz w:val="24"/>
                <w:szCs w:val="24"/>
              </w:rPr>
              <w:t>%)</w:t>
            </w:r>
            <w:r w:rsidRPr="312E0A5E">
              <w:rPr>
                <w:rFonts w:ascii="Arial" w:eastAsia="Arial" w:hAnsi="Arial" w:cs="Arial"/>
                <w:sz w:val="24"/>
                <w:szCs w:val="24"/>
              </w:rPr>
              <w:t>, than</w:t>
            </w:r>
            <w:r w:rsidRPr="0587EF74">
              <w:rPr>
                <w:rFonts w:ascii="Arial" w:eastAsia="Arial" w:hAnsi="Arial" w:cs="Arial"/>
                <w:sz w:val="24"/>
                <w:szCs w:val="24"/>
              </w:rPr>
              <w:t xml:space="preserve"> white respondents</w:t>
            </w:r>
            <w:r w:rsidRPr="4F4E5388">
              <w:rPr>
                <w:rFonts w:ascii="Arial" w:eastAsia="Arial" w:hAnsi="Arial" w:cs="Arial"/>
                <w:sz w:val="24"/>
                <w:szCs w:val="24"/>
              </w:rPr>
              <w:t xml:space="preserve"> </w:t>
            </w:r>
            <w:r w:rsidRPr="1BC1D309">
              <w:rPr>
                <w:rFonts w:ascii="Arial" w:eastAsia="Arial" w:hAnsi="Arial" w:cs="Arial"/>
                <w:sz w:val="24"/>
                <w:szCs w:val="24"/>
              </w:rPr>
              <w:t>(</w:t>
            </w:r>
            <w:r w:rsidRPr="312E0A5E">
              <w:rPr>
                <w:rFonts w:ascii="Arial" w:eastAsia="Arial" w:hAnsi="Arial" w:cs="Arial"/>
                <w:sz w:val="24"/>
                <w:szCs w:val="24"/>
              </w:rPr>
              <w:t>4.9%). This figure has increased since last year’s report and has resulted in the gap widening between Black and Minority Ethnic and white colleagues and their experiences.</w:t>
            </w:r>
          </w:p>
          <w:p w14:paraId="582E7A46" w14:textId="77777777" w:rsidR="00555B4C" w:rsidRPr="00555B4C" w:rsidRDefault="00555B4C" w:rsidP="008F312F">
            <w:pPr>
              <w:spacing w:line="264" w:lineRule="auto"/>
              <w:rPr>
                <w:rFonts w:ascii="Arial" w:eastAsia="Arial" w:hAnsi="Arial" w:cs="Arial"/>
                <w:sz w:val="24"/>
                <w:szCs w:val="24"/>
              </w:rPr>
            </w:pPr>
          </w:p>
        </w:tc>
        <w:tc>
          <w:tcPr>
            <w:tcW w:w="1574" w:type="dxa"/>
            <w:shd w:val="clear" w:color="auto" w:fill="FF7C80"/>
          </w:tcPr>
          <w:p w14:paraId="02C2FFCA" w14:textId="77777777" w:rsidR="003F596D" w:rsidRDefault="003F596D" w:rsidP="008F312F">
            <w:pPr>
              <w:spacing w:line="264" w:lineRule="auto"/>
              <w:rPr>
                <w:rFonts w:ascii="Arial" w:eastAsia="Arial" w:hAnsi="Arial" w:cs="Arial"/>
                <w:color w:val="000000" w:themeColor="text1"/>
                <w:sz w:val="24"/>
                <w:szCs w:val="24"/>
              </w:rPr>
            </w:pPr>
          </w:p>
          <w:p w14:paraId="0A15A567" w14:textId="69255C49" w:rsidR="00A12125" w:rsidRDefault="006D336E" w:rsidP="008F312F">
            <w:pPr>
              <w:spacing w:line="264" w:lineRule="auto"/>
              <w:rPr>
                <w:rFonts w:ascii="Arial" w:eastAsia="Arial" w:hAnsi="Arial" w:cs="Arial"/>
                <w:color w:val="000000" w:themeColor="text1"/>
                <w:sz w:val="24"/>
                <w:szCs w:val="24"/>
              </w:rPr>
            </w:pPr>
            <w:r>
              <w:rPr>
                <w:rFonts w:ascii="Arial" w:eastAsia="Arial" w:hAnsi="Arial" w:cs="Arial"/>
                <w:color w:val="000000" w:themeColor="text1"/>
                <w:sz w:val="24"/>
                <w:szCs w:val="24"/>
              </w:rPr>
              <w:t>Red</w:t>
            </w:r>
          </w:p>
        </w:tc>
      </w:tr>
      <w:tr w:rsidR="0086618B" w:rsidRPr="006E21A3" w14:paraId="48B0595A" w14:textId="77777777" w:rsidTr="0B070F55">
        <w:tc>
          <w:tcPr>
            <w:tcW w:w="2354" w:type="dxa"/>
            <w:vMerge/>
          </w:tcPr>
          <w:p w14:paraId="2556A66E" w14:textId="77777777" w:rsidR="003F596D" w:rsidRPr="006E21A3" w:rsidRDefault="003F596D" w:rsidP="008F312F">
            <w:pPr>
              <w:pStyle w:val="Heading1"/>
              <w:spacing w:line="420" w:lineRule="atLeast"/>
              <w:ind w:left="360"/>
              <w:outlineLvl w:val="0"/>
              <w:rPr>
                <w:rFonts w:ascii="Arial" w:hAnsi="Arial" w:cs="Arial"/>
                <w:b/>
                <w:bCs/>
                <w:color w:val="000000" w:themeColor="text1"/>
                <w:sz w:val="28"/>
                <w:szCs w:val="28"/>
              </w:rPr>
            </w:pPr>
          </w:p>
        </w:tc>
        <w:tc>
          <w:tcPr>
            <w:tcW w:w="1725" w:type="dxa"/>
          </w:tcPr>
          <w:p w14:paraId="083B92B8" w14:textId="77777777" w:rsidR="003F596D" w:rsidRPr="006E21A3" w:rsidRDefault="003F596D" w:rsidP="008F312F">
            <w:pPr>
              <w:spacing w:line="264" w:lineRule="auto"/>
              <w:rPr>
                <w:rFonts w:ascii="Arial" w:hAnsi="Arial" w:cs="Arial"/>
                <w:color w:val="000000" w:themeColor="text1"/>
                <w:sz w:val="24"/>
                <w:szCs w:val="24"/>
              </w:rPr>
            </w:pPr>
            <w:r w:rsidRPr="006E21A3">
              <w:rPr>
                <w:rFonts w:ascii="Arial" w:hAnsi="Arial" w:cs="Arial"/>
                <w:sz w:val="24"/>
                <w:szCs w:val="24"/>
              </w:rPr>
              <w:t>5.4</w:t>
            </w:r>
          </w:p>
        </w:tc>
        <w:tc>
          <w:tcPr>
            <w:tcW w:w="3221" w:type="dxa"/>
          </w:tcPr>
          <w:p w14:paraId="70785EA1" w14:textId="77777777" w:rsidR="003F596D" w:rsidRPr="006E21A3" w:rsidRDefault="003F596D" w:rsidP="008F312F">
            <w:pPr>
              <w:spacing w:line="264" w:lineRule="auto"/>
              <w:rPr>
                <w:rFonts w:ascii="Arial" w:hAnsi="Arial" w:cs="Arial"/>
                <w:color w:val="000000" w:themeColor="text1"/>
                <w:sz w:val="24"/>
                <w:szCs w:val="24"/>
              </w:rPr>
            </w:pPr>
            <w:r w:rsidRPr="006E21A3">
              <w:rPr>
                <w:rFonts w:ascii="Arial" w:eastAsia="Times New Roman" w:hAnsi="Arial" w:cs="Arial"/>
                <w:color w:val="212121"/>
                <w:spacing w:val="-5"/>
                <w:sz w:val="24"/>
                <w:szCs w:val="24"/>
                <w:lang w:eastAsia="en-GB"/>
              </w:rPr>
              <w:t>Improve disability, ethnicity, sexual orientation, religion and belief declaration rates in Electronic Staff record to target of 95%</w:t>
            </w:r>
          </w:p>
        </w:tc>
        <w:tc>
          <w:tcPr>
            <w:tcW w:w="6636" w:type="dxa"/>
          </w:tcPr>
          <w:p w14:paraId="54D332C2" w14:textId="77777777" w:rsidR="003F596D" w:rsidRDefault="003F596D" w:rsidP="008F312F">
            <w:pPr>
              <w:spacing w:line="264" w:lineRule="auto"/>
              <w:rPr>
                <w:rFonts w:ascii="Arial" w:eastAsia="Times New Roman" w:hAnsi="Arial" w:cs="Arial"/>
                <w:color w:val="000000" w:themeColor="text1"/>
                <w:sz w:val="24"/>
                <w:szCs w:val="24"/>
                <w:lang w:eastAsia="en-GB"/>
              </w:rPr>
            </w:pPr>
            <w:r w:rsidRPr="32FC0D52">
              <w:rPr>
                <w:rFonts w:ascii="Arial" w:eastAsia="Times New Roman" w:hAnsi="Arial" w:cs="Arial"/>
                <w:color w:val="000000" w:themeColor="text1"/>
                <w:sz w:val="24"/>
                <w:szCs w:val="24"/>
                <w:lang w:eastAsia="en-GB"/>
              </w:rPr>
              <w:t>Current Figures as of June 2022</w:t>
            </w:r>
            <w:r>
              <w:rPr>
                <w:rFonts w:ascii="Arial" w:eastAsia="Times New Roman" w:hAnsi="Arial" w:cs="Arial"/>
                <w:color w:val="000000" w:themeColor="text1"/>
                <w:sz w:val="24"/>
                <w:szCs w:val="24"/>
                <w:lang w:eastAsia="en-GB"/>
              </w:rPr>
              <w:t xml:space="preserve"> (vs Nov 2021)</w:t>
            </w:r>
          </w:p>
          <w:p w14:paraId="454F2873" w14:textId="77777777" w:rsidR="003F596D" w:rsidRDefault="003F596D" w:rsidP="008F312F">
            <w:pPr>
              <w:spacing w:line="264" w:lineRule="auto"/>
              <w:rPr>
                <w:rFonts w:ascii="Arial" w:eastAsia="Times New Roman" w:hAnsi="Arial" w:cs="Arial"/>
                <w:color w:val="000000" w:themeColor="text1"/>
                <w:sz w:val="24"/>
                <w:szCs w:val="24"/>
                <w:lang w:eastAsia="en-GB"/>
              </w:rPr>
            </w:pPr>
            <w:r w:rsidRPr="32FC0D52">
              <w:rPr>
                <w:rFonts w:ascii="Arial" w:eastAsia="Times New Roman" w:hAnsi="Arial" w:cs="Arial"/>
                <w:color w:val="000000" w:themeColor="text1"/>
                <w:sz w:val="24"/>
                <w:szCs w:val="24"/>
                <w:lang w:eastAsia="en-GB"/>
              </w:rPr>
              <w:t>Disability 94.6%</w:t>
            </w:r>
            <w:r>
              <w:rPr>
                <w:rFonts w:ascii="Arial" w:eastAsia="Times New Roman" w:hAnsi="Arial" w:cs="Arial"/>
                <w:color w:val="000000" w:themeColor="text1"/>
                <w:sz w:val="24"/>
                <w:szCs w:val="24"/>
                <w:lang w:eastAsia="en-GB"/>
              </w:rPr>
              <w:t xml:space="preserve"> (Nov 2021: 94%, increase of +0.6%)</w:t>
            </w:r>
          </w:p>
          <w:p w14:paraId="08CF93CE" w14:textId="77777777" w:rsidR="003F596D" w:rsidRDefault="003F596D" w:rsidP="008F312F">
            <w:pPr>
              <w:spacing w:line="264" w:lineRule="auto"/>
              <w:rPr>
                <w:rFonts w:ascii="Arial" w:eastAsia="Times New Roman" w:hAnsi="Arial" w:cs="Arial"/>
                <w:color w:val="000000" w:themeColor="text1"/>
                <w:sz w:val="24"/>
                <w:szCs w:val="24"/>
                <w:lang w:eastAsia="en-GB"/>
              </w:rPr>
            </w:pPr>
            <w:r w:rsidRPr="32FC0D52">
              <w:rPr>
                <w:rFonts w:ascii="Arial" w:eastAsia="Times New Roman" w:hAnsi="Arial" w:cs="Arial"/>
                <w:color w:val="000000" w:themeColor="text1"/>
                <w:sz w:val="24"/>
                <w:szCs w:val="24"/>
                <w:lang w:eastAsia="en-GB"/>
              </w:rPr>
              <w:t>Ethnicity 91.5%</w:t>
            </w:r>
            <w:r>
              <w:rPr>
                <w:rFonts w:ascii="Arial" w:eastAsia="Times New Roman" w:hAnsi="Arial" w:cs="Arial"/>
                <w:color w:val="000000" w:themeColor="text1"/>
                <w:sz w:val="24"/>
                <w:szCs w:val="24"/>
                <w:lang w:eastAsia="en-GB"/>
              </w:rPr>
              <w:t xml:space="preserve"> (Nov 2021: 91%, increase of +0.5%)</w:t>
            </w:r>
          </w:p>
          <w:p w14:paraId="1E65F904" w14:textId="77777777" w:rsidR="003F596D" w:rsidRDefault="003F596D" w:rsidP="008F312F">
            <w:pPr>
              <w:spacing w:line="264" w:lineRule="auto"/>
              <w:rPr>
                <w:rFonts w:ascii="Arial" w:eastAsia="Times New Roman" w:hAnsi="Arial" w:cs="Arial"/>
                <w:color w:val="000000" w:themeColor="text1"/>
                <w:sz w:val="24"/>
                <w:szCs w:val="24"/>
                <w:lang w:eastAsia="en-GB"/>
              </w:rPr>
            </w:pPr>
            <w:r w:rsidRPr="32FC0D52">
              <w:rPr>
                <w:rFonts w:ascii="Arial" w:eastAsia="Times New Roman" w:hAnsi="Arial" w:cs="Arial"/>
                <w:color w:val="000000" w:themeColor="text1"/>
                <w:sz w:val="24"/>
                <w:szCs w:val="24"/>
                <w:lang w:eastAsia="en-GB"/>
              </w:rPr>
              <w:t>Sexual Orientation 84.5%</w:t>
            </w:r>
            <w:r>
              <w:rPr>
                <w:rFonts w:ascii="Arial" w:eastAsia="Times New Roman" w:hAnsi="Arial" w:cs="Arial"/>
                <w:color w:val="000000" w:themeColor="text1"/>
                <w:sz w:val="24"/>
                <w:szCs w:val="24"/>
                <w:lang w:eastAsia="en-GB"/>
              </w:rPr>
              <w:t xml:space="preserve"> (Nov 2021: 84%, increase of +0.5%)</w:t>
            </w:r>
          </w:p>
          <w:p w14:paraId="490EC440" w14:textId="77777777" w:rsidR="003F596D" w:rsidRPr="00A207C7" w:rsidRDefault="003F596D" w:rsidP="008F312F">
            <w:pPr>
              <w:spacing w:line="264" w:lineRule="auto"/>
              <w:rPr>
                <w:rFonts w:ascii="Arial" w:eastAsia="Times New Roman" w:hAnsi="Arial" w:cs="Arial"/>
                <w:color w:val="000000" w:themeColor="text1"/>
                <w:sz w:val="24"/>
                <w:szCs w:val="24"/>
                <w:lang w:eastAsia="en-GB"/>
              </w:rPr>
            </w:pPr>
            <w:r w:rsidRPr="32FC0D52">
              <w:rPr>
                <w:rFonts w:ascii="Arial" w:eastAsia="Times New Roman" w:hAnsi="Arial" w:cs="Arial"/>
                <w:color w:val="000000" w:themeColor="text1"/>
                <w:sz w:val="24"/>
                <w:szCs w:val="24"/>
                <w:lang w:eastAsia="en-GB"/>
              </w:rPr>
              <w:t>Religion 65.3%</w:t>
            </w:r>
            <w:r>
              <w:rPr>
                <w:rFonts w:ascii="Arial" w:eastAsia="Times New Roman" w:hAnsi="Arial" w:cs="Arial"/>
                <w:color w:val="000000" w:themeColor="text1"/>
                <w:sz w:val="24"/>
                <w:szCs w:val="24"/>
                <w:lang w:eastAsia="en-GB"/>
              </w:rPr>
              <w:t xml:space="preserve"> (Nov 2021: 64%, increase of +1.3%)</w:t>
            </w:r>
          </w:p>
        </w:tc>
        <w:tc>
          <w:tcPr>
            <w:tcW w:w="1574" w:type="dxa"/>
            <w:shd w:val="clear" w:color="auto" w:fill="92D050"/>
          </w:tcPr>
          <w:p w14:paraId="2772CEC6" w14:textId="77777777" w:rsidR="003F596D" w:rsidRDefault="003F596D" w:rsidP="008F312F">
            <w:pPr>
              <w:spacing w:line="264" w:lineRule="auto"/>
              <w:rPr>
                <w:rFonts w:ascii="Arial" w:eastAsia="Times New Roman" w:hAnsi="Arial" w:cs="Arial"/>
                <w:color w:val="000000" w:themeColor="text1"/>
                <w:sz w:val="24"/>
                <w:szCs w:val="24"/>
                <w:lang w:eastAsia="en-GB"/>
              </w:rPr>
            </w:pPr>
          </w:p>
          <w:p w14:paraId="568BB51F" w14:textId="321B5176" w:rsidR="00A12125" w:rsidRDefault="00A12125" w:rsidP="008F312F">
            <w:pPr>
              <w:spacing w:line="264"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Green</w:t>
            </w:r>
          </w:p>
        </w:tc>
      </w:tr>
      <w:tr w:rsidR="0086618B" w:rsidRPr="006E21A3" w14:paraId="04F15ED7" w14:textId="77777777" w:rsidTr="0B070F55">
        <w:tc>
          <w:tcPr>
            <w:tcW w:w="2354" w:type="dxa"/>
            <w:vMerge/>
          </w:tcPr>
          <w:p w14:paraId="3060AB89" w14:textId="77777777" w:rsidR="003F596D" w:rsidRPr="006E21A3" w:rsidRDefault="003F596D" w:rsidP="008F312F">
            <w:pPr>
              <w:pStyle w:val="Heading1"/>
              <w:spacing w:line="420" w:lineRule="atLeast"/>
              <w:ind w:left="360"/>
              <w:outlineLvl w:val="0"/>
              <w:rPr>
                <w:rFonts w:ascii="Arial" w:hAnsi="Arial" w:cs="Arial"/>
                <w:b/>
                <w:bCs/>
                <w:color w:val="000000" w:themeColor="text1"/>
                <w:sz w:val="28"/>
                <w:szCs w:val="28"/>
              </w:rPr>
            </w:pPr>
          </w:p>
        </w:tc>
        <w:tc>
          <w:tcPr>
            <w:tcW w:w="1725" w:type="dxa"/>
          </w:tcPr>
          <w:p w14:paraId="07A17872" w14:textId="6D34DE09" w:rsidR="003F596D" w:rsidRPr="006E21A3" w:rsidRDefault="003F596D" w:rsidP="008F312F">
            <w:pPr>
              <w:spacing w:line="264" w:lineRule="auto"/>
              <w:rPr>
                <w:rFonts w:ascii="Arial" w:hAnsi="Arial" w:cs="Arial"/>
                <w:color w:val="000000" w:themeColor="text1"/>
                <w:sz w:val="24"/>
                <w:szCs w:val="24"/>
              </w:rPr>
            </w:pPr>
            <w:r w:rsidRPr="006E21A3">
              <w:rPr>
                <w:rFonts w:ascii="Arial" w:hAnsi="Arial" w:cs="Arial"/>
                <w:sz w:val="24"/>
                <w:szCs w:val="24"/>
              </w:rPr>
              <w:t>5.5</w:t>
            </w:r>
          </w:p>
        </w:tc>
        <w:tc>
          <w:tcPr>
            <w:tcW w:w="3221" w:type="dxa"/>
          </w:tcPr>
          <w:p w14:paraId="58966070" w14:textId="77777777" w:rsidR="003F596D" w:rsidRPr="006E21A3" w:rsidRDefault="003F596D" w:rsidP="008F312F">
            <w:pPr>
              <w:spacing w:line="264" w:lineRule="auto"/>
              <w:rPr>
                <w:rFonts w:ascii="Arial" w:hAnsi="Arial" w:cs="Arial"/>
                <w:color w:val="000000" w:themeColor="text1"/>
                <w:sz w:val="24"/>
                <w:szCs w:val="24"/>
              </w:rPr>
            </w:pPr>
            <w:r w:rsidRPr="006E21A3">
              <w:rPr>
                <w:rFonts w:ascii="Arial" w:eastAsia="Times New Roman" w:hAnsi="Arial" w:cs="Arial"/>
                <w:color w:val="212121"/>
                <w:spacing w:val="-5"/>
                <w:sz w:val="24"/>
                <w:szCs w:val="24"/>
                <w:lang w:eastAsia="en-GB"/>
              </w:rPr>
              <w:t>Improve representation of disabled colleagues in Exec and C, D and E roles to 7.5%</w:t>
            </w:r>
          </w:p>
        </w:tc>
        <w:tc>
          <w:tcPr>
            <w:tcW w:w="6636" w:type="dxa"/>
          </w:tcPr>
          <w:p w14:paraId="1BFE9D47" w14:textId="019F2C7E" w:rsidR="003F596D" w:rsidRPr="006E21A3" w:rsidRDefault="003F596D" w:rsidP="008F312F">
            <w:pPr>
              <w:spacing w:line="264" w:lineRule="auto"/>
              <w:rPr>
                <w:rFonts w:ascii="Arial" w:eastAsia="Arial" w:hAnsi="Arial" w:cs="Arial"/>
                <w:sz w:val="24"/>
                <w:szCs w:val="24"/>
              </w:rPr>
            </w:pPr>
            <w:r w:rsidRPr="312E0A5E">
              <w:rPr>
                <w:rFonts w:ascii="Arial" w:eastAsia="Arial" w:hAnsi="Arial" w:cs="Arial"/>
                <w:color w:val="000000" w:themeColor="text1"/>
                <w:sz w:val="24"/>
                <w:szCs w:val="24"/>
              </w:rPr>
              <w:t xml:space="preserve">The Workforce </w:t>
            </w:r>
            <w:r w:rsidR="005F5235">
              <w:rPr>
                <w:rFonts w:ascii="Arial" w:eastAsia="Arial" w:hAnsi="Arial" w:cs="Arial"/>
                <w:color w:val="000000" w:themeColor="text1"/>
                <w:sz w:val="24"/>
                <w:szCs w:val="24"/>
              </w:rPr>
              <w:t>Disability</w:t>
            </w:r>
            <w:r w:rsidRPr="312E0A5E">
              <w:rPr>
                <w:rFonts w:ascii="Arial" w:eastAsia="Arial" w:hAnsi="Arial" w:cs="Arial"/>
                <w:color w:val="000000" w:themeColor="text1"/>
                <w:sz w:val="24"/>
                <w:szCs w:val="24"/>
              </w:rPr>
              <w:t xml:space="preserve"> Equality Standard (W</w:t>
            </w:r>
            <w:r w:rsidR="005F5235">
              <w:rPr>
                <w:rFonts w:ascii="Arial" w:eastAsia="Arial" w:hAnsi="Arial" w:cs="Arial"/>
                <w:color w:val="000000" w:themeColor="text1"/>
                <w:sz w:val="24"/>
                <w:szCs w:val="24"/>
              </w:rPr>
              <w:t>D</w:t>
            </w:r>
            <w:r w:rsidRPr="312E0A5E">
              <w:rPr>
                <w:rFonts w:ascii="Arial" w:eastAsia="Arial" w:hAnsi="Arial" w:cs="Arial"/>
                <w:color w:val="000000" w:themeColor="text1"/>
                <w:sz w:val="24"/>
                <w:szCs w:val="24"/>
              </w:rPr>
              <w:t>ES) Annual Report 2021 indicates d</w:t>
            </w:r>
            <w:r w:rsidRPr="312E0A5E">
              <w:rPr>
                <w:rFonts w:ascii="Arial" w:eastAsia="Arial" w:hAnsi="Arial" w:cs="Arial"/>
                <w:sz w:val="24"/>
                <w:szCs w:val="24"/>
              </w:rPr>
              <w:t xml:space="preserve">isabled colleagues are proportionately represented at the Grades C, D and E (8.2%) </w:t>
            </w:r>
            <w:r w:rsidR="00BC502D">
              <w:rPr>
                <w:rFonts w:ascii="Arial" w:eastAsia="Arial" w:hAnsi="Arial" w:cs="Arial"/>
                <w:sz w:val="24"/>
                <w:szCs w:val="24"/>
              </w:rPr>
              <w:t>and this is an improvement (+1.8%) on the previous year’s report. H</w:t>
            </w:r>
            <w:r w:rsidRPr="312E0A5E">
              <w:rPr>
                <w:rFonts w:ascii="Arial" w:eastAsia="Arial" w:hAnsi="Arial" w:cs="Arial"/>
                <w:sz w:val="24"/>
                <w:szCs w:val="24"/>
              </w:rPr>
              <w:t>owever</w:t>
            </w:r>
            <w:r w:rsidR="00BC502D">
              <w:rPr>
                <w:rFonts w:ascii="Arial" w:eastAsia="Arial" w:hAnsi="Arial" w:cs="Arial"/>
                <w:sz w:val="24"/>
                <w:szCs w:val="24"/>
              </w:rPr>
              <w:t>,</w:t>
            </w:r>
            <w:r w:rsidRPr="312E0A5E">
              <w:rPr>
                <w:rFonts w:ascii="Arial" w:eastAsia="Arial" w:hAnsi="Arial" w:cs="Arial"/>
                <w:sz w:val="24"/>
                <w:szCs w:val="24"/>
              </w:rPr>
              <w:t xml:space="preserve"> they continue to be </w:t>
            </w:r>
            <w:r w:rsidRPr="312E0A5E">
              <w:rPr>
                <w:rFonts w:ascii="Arial" w:eastAsia="Arial" w:hAnsi="Arial" w:cs="Arial"/>
                <w:sz w:val="24"/>
                <w:szCs w:val="24"/>
              </w:rPr>
              <w:lastRenderedPageBreak/>
              <w:t>underrepresented in our Exec grades (3%), where there is also a higher number of “Not Stated” self-reporting of disability</w:t>
            </w:r>
            <w:r w:rsidR="00BC502D">
              <w:rPr>
                <w:rFonts w:ascii="Arial" w:eastAsia="Arial" w:hAnsi="Arial" w:cs="Arial"/>
                <w:sz w:val="24"/>
                <w:szCs w:val="24"/>
              </w:rPr>
              <w:t>. This was a slight decrease (-0.1%) from the previous year.</w:t>
            </w:r>
          </w:p>
        </w:tc>
        <w:tc>
          <w:tcPr>
            <w:tcW w:w="1574" w:type="dxa"/>
            <w:shd w:val="clear" w:color="auto" w:fill="FFC000" w:themeFill="accent4"/>
          </w:tcPr>
          <w:p w14:paraId="7D3C1B27" w14:textId="77777777" w:rsidR="003F596D" w:rsidRDefault="003F596D" w:rsidP="008F312F">
            <w:pPr>
              <w:spacing w:line="264" w:lineRule="auto"/>
              <w:rPr>
                <w:rFonts w:ascii="Arial" w:eastAsia="Arial" w:hAnsi="Arial" w:cs="Arial"/>
                <w:color w:val="000000" w:themeColor="text1"/>
                <w:sz w:val="24"/>
                <w:szCs w:val="24"/>
              </w:rPr>
            </w:pPr>
          </w:p>
          <w:p w14:paraId="11E4788C" w14:textId="1E820ACC" w:rsidR="008D06C2" w:rsidRDefault="008D06C2" w:rsidP="008F312F">
            <w:pPr>
              <w:spacing w:line="264" w:lineRule="auto"/>
              <w:rPr>
                <w:rFonts w:ascii="Arial" w:eastAsia="Arial" w:hAnsi="Arial" w:cs="Arial"/>
                <w:color w:val="000000" w:themeColor="text1"/>
                <w:sz w:val="24"/>
                <w:szCs w:val="24"/>
              </w:rPr>
            </w:pPr>
            <w:r>
              <w:rPr>
                <w:rFonts w:ascii="Arial" w:eastAsia="Arial" w:hAnsi="Arial" w:cs="Arial"/>
                <w:color w:val="000000" w:themeColor="text1"/>
                <w:sz w:val="24"/>
                <w:szCs w:val="24"/>
              </w:rPr>
              <w:t>Amber</w:t>
            </w:r>
          </w:p>
        </w:tc>
      </w:tr>
      <w:tr w:rsidR="0086618B" w:rsidRPr="006E21A3" w14:paraId="19B0187A" w14:textId="77777777" w:rsidTr="0B070F55">
        <w:tc>
          <w:tcPr>
            <w:tcW w:w="2354" w:type="dxa"/>
            <w:vMerge/>
          </w:tcPr>
          <w:p w14:paraId="3AD018A0" w14:textId="77777777" w:rsidR="003F596D" w:rsidRPr="006E21A3" w:rsidRDefault="003F596D" w:rsidP="008F312F">
            <w:pPr>
              <w:pStyle w:val="Heading1"/>
              <w:spacing w:line="420" w:lineRule="atLeast"/>
              <w:ind w:left="360"/>
              <w:outlineLvl w:val="0"/>
              <w:rPr>
                <w:rFonts w:ascii="Arial" w:hAnsi="Arial" w:cs="Arial"/>
                <w:b/>
                <w:bCs/>
                <w:color w:val="000000" w:themeColor="text1"/>
                <w:sz w:val="28"/>
                <w:szCs w:val="28"/>
              </w:rPr>
            </w:pPr>
          </w:p>
        </w:tc>
        <w:tc>
          <w:tcPr>
            <w:tcW w:w="1725" w:type="dxa"/>
          </w:tcPr>
          <w:p w14:paraId="5C4D86A5" w14:textId="77777777" w:rsidR="003F596D" w:rsidRPr="006E21A3" w:rsidRDefault="003F596D" w:rsidP="008F312F">
            <w:pPr>
              <w:spacing w:line="264" w:lineRule="auto"/>
              <w:rPr>
                <w:rFonts w:ascii="Arial" w:hAnsi="Arial" w:cs="Arial"/>
                <w:color w:val="000000" w:themeColor="text1"/>
                <w:sz w:val="24"/>
                <w:szCs w:val="24"/>
              </w:rPr>
            </w:pPr>
            <w:r w:rsidRPr="006E21A3">
              <w:rPr>
                <w:rFonts w:ascii="Arial" w:hAnsi="Arial" w:cs="Arial"/>
                <w:sz w:val="24"/>
                <w:szCs w:val="24"/>
              </w:rPr>
              <w:t>5.6</w:t>
            </w:r>
          </w:p>
        </w:tc>
        <w:tc>
          <w:tcPr>
            <w:tcW w:w="3221" w:type="dxa"/>
          </w:tcPr>
          <w:p w14:paraId="25333D96" w14:textId="77777777" w:rsidR="003F596D" w:rsidRPr="006E21A3" w:rsidRDefault="003F596D" w:rsidP="008F312F">
            <w:pPr>
              <w:spacing w:line="264" w:lineRule="auto"/>
              <w:rPr>
                <w:rFonts w:ascii="Arial" w:hAnsi="Arial" w:cs="Arial"/>
                <w:color w:val="000000" w:themeColor="text1"/>
                <w:sz w:val="24"/>
                <w:szCs w:val="24"/>
              </w:rPr>
            </w:pPr>
            <w:r w:rsidRPr="006E21A3">
              <w:rPr>
                <w:rFonts w:ascii="Arial" w:eastAsia="Times New Roman" w:hAnsi="Arial" w:cs="Arial"/>
                <w:color w:val="212121"/>
                <w:spacing w:val="-5"/>
                <w:sz w:val="24"/>
                <w:szCs w:val="24"/>
                <w:lang w:eastAsia="en-GB"/>
              </w:rPr>
              <w:t>Increase likelihood of disabled applicants being appointed from shortlisting</w:t>
            </w:r>
          </w:p>
        </w:tc>
        <w:tc>
          <w:tcPr>
            <w:tcW w:w="6636" w:type="dxa"/>
          </w:tcPr>
          <w:p w14:paraId="39CE6E92" w14:textId="6753AC0A" w:rsidR="003F596D" w:rsidRPr="006E21A3" w:rsidRDefault="003F596D" w:rsidP="008F312F">
            <w:pPr>
              <w:spacing w:line="264" w:lineRule="auto"/>
              <w:rPr>
                <w:rFonts w:ascii="Arial" w:eastAsia="Arial" w:hAnsi="Arial" w:cs="Arial"/>
                <w:color w:val="000000" w:themeColor="text1"/>
                <w:sz w:val="24"/>
                <w:szCs w:val="24"/>
              </w:rPr>
            </w:pPr>
            <w:r w:rsidRPr="312E0A5E">
              <w:rPr>
                <w:rFonts w:ascii="Arial" w:eastAsia="Arial" w:hAnsi="Arial" w:cs="Arial"/>
                <w:color w:val="000000" w:themeColor="text1"/>
                <w:sz w:val="24"/>
                <w:szCs w:val="24"/>
              </w:rPr>
              <w:t xml:space="preserve">The Workforce </w:t>
            </w:r>
            <w:r w:rsidR="00E1032E">
              <w:rPr>
                <w:rFonts w:ascii="Arial" w:eastAsia="Arial" w:hAnsi="Arial" w:cs="Arial"/>
                <w:color w:val="000000" w:themeColor="text1"/>
                <w:sz w:val="24"/>
                <w:szCs w:val="24"/>
              </w:rPr>
              <w:t>Disability</w:t>
            </w:r>
            <w:r w:rsidRPr="312E0A5E">
              <w:rPr>
                <w:rFonts w:ascii="Arial" w:eastAsia="Arial" w:hAnsi="Arial" w:cs="Arial"/>
                <w:color w:val="000000" w:themeColor="text1"/>
                <w:sz w:val="24"/>
                <w:szCs w:val="24"/>
              </w:rPr>
              <w:t xml:space="preserve"> Equality Standard (W</w:t>
            </w:r>
            <w:r w:rsidR="00E1032E">
              <w:rPr>
                <w:rFonts w:ascii="Arial" w:eastAsia="Arial" w:hAnsi="Arial" w:cs="Arial"/>
                <w:color w:val="000000" w:themeColor="text1"/>
                <w:sz w:val="24"/>
                <w:szCs w:val="24"/>
              </w:rPr>
              <w:t>D</w:t>
            </w:r>
            <w:r w:rsidRPr="312E0A5E">
              <w:rPr>
                <w:rFonts w:ascii="Arial" w:eastAsia="Arial" w:hAnsi="Arial" w:cs="Arial"/>
                <w:color w:val="000000" w:themeColor="text1"/>
                <w:sz w:val="24"/>
                <w:szCs w:val="24"/>
              </w:rPr>
              <w:t>ES) Annual Report 2021 shows t</w:t>
            </w:r>
            <w:r w:rsidRPr="312E0A5E">
              <w:rPr>
                <w:rFonts w:ascii="Arial" w:eastAsia="Arial" w:hAnsi="Arial" w:cs="Arial"/>
                <w:sz w:val="24"/>
                <w:szCs w:val="24"/>
              </w:rPr>
              <w:t>he figure for disabled candidates’ likelihood of being appointed from shortlisting compared to non-disabled candidates has improved since 2020 report from 1.3</w:t>
            </w:r>
            <w:r w:rsidR="00C66C90">
              <w:rPr>
                <w:rFonts w:ascii="Arial" w:eastAsia="Arial" w:hAnsi="Arial" w:cs="Arial"/>
                <w:sz w:val="24"/>
                <w:szCs w:val="24"/>
              </w:rPr>
              <w:t xml:space="preserve">8 </w:t>
            </w:r>
            <w:r w:rsidRPr="312E0A5E">
              <w:rPr>
                <w:rFonts w:ascii="Arial" w:eastAsia="Arial" w:hAnsi="Arial" w:cs="Arial"/>
                <w:sz w:val="24"/>
                <w:szCs w:val="24"/>
              </w:rPr>
              <w:t>to 1.</w:t>
            </w:r>
            <w:r w:rsidR="008D06C2">
              <w:rPr>
                <w:rFonts w:ascii="Arial" w:eastAsia="Arial" w:hAnsi="Arial" w:cs="Arial"/>
                <w:sz w:val="24"/>
                <w:szCs w:val="24"/>
              </w:rPr>
              <w:t>20</w:t>
            </w:r>
            <w:r w:rsidRPr="312E0A5E">
              <w:rPr>
                <w:rFonts w:ascii="Arial" w:eastAsia="Arial" w:hAnsi="Arial" w:cs="Arial"/>
                <w:sz w:val="24"/>
                <w:szCs w:val="24"/>
              </w:rPr>
              <w:t>. The difference in relative likelihood of being shortlisted is within</w:t>
            </w:r>
            <w:r w:rsidRPr="312E0A5E">
              <w:rPr>
                <w:rFonts w:ascii="Arial" w:eastAsia="Arial" w:hAnsi="Arial" w:cs="Arial"/>
                <w:color w:val="000000" w:themeColor="text1"/>
                <w:sz w:val="24"/>
                <w:szCs w:val="24"/>
              </w:rPr>
              <w:t xml:space="preserve"> the ‘non-adverse’ range (the non-adverse range is between 0.80-1.25, meaning any figure outside of this is significant).</w:t>
            </w:r>
          </w:p>
          <w:p w14:paraId="7AB83926" w14:textId="77777777" w:rsidR="003F596D" w:rsidRPr="006E21A3" w:rsidRDefault="003F596D" w:rsidP="008F312F">
            <w:pPr>
              <w:spacing w:line="264" w:lineRule="auto"/>
              <w:rPr>
                <w:rFonts w:ascii="Arial" w:eastAsia="Arial" w:hAnsi="Arial" w:cs="Arial"/>
                <w:sz w:val="24"/>
                <w:szCs w:val="24"/>
              </w:rPr>
            </w:pPr>
            <w:r w:rsidRPr="312E0A5E">
              <w:rPr>
                <w:rFonts w:ascii="Arial" w:eastAsia="Arial" w:hAnsi="Arial" w:cs="Arial"/>
                <w:color w:val="000000" w:themeColor="text1"/>
                <w:sz w:val="24"/>
                <w:szCs w:val="24"/>
              </w:rPr>
              <w:t xml:space="preserve">  </w:t>
            </w:r>
          </w:p>
        </w:tc>
        <w:tc>
          <w:tcPr>
            <w:tcW w:w="1574" w:type="dxa"/>
            <w:shd w:val="clear" w:color="auto" w:fill="92D050"/>
          </w:tcPr>
          <w:p w14:paraId="1E0AB7CC" w14:textId="77777777" w:rsidR="003F596D" w:rsidRDefault="003F596D" w:rsidP="008F312F">
            <w:pPr>
              <w:spacing w:line="264" w:lineRule="auto"/>
              <w:rPr>
                <w:rFonts w:ascii="Arial" w:eastAsia="Arial" w:hAnsi="Arial" w:cs="Arial"/>
                <w:color w:val="000000" w:themeColor="text1"/>
                <w:sz w:val="24"/>
                <w:szCs w:val="24"/>
              </w:rPr>
            </w:pPr>
          </w:p>
          <w:p w14:paraId="08755E52" w14:textId="40CFA4A1" w:rsidR="008D06C2" w:rsidRDefault="008D06C2" w:rsidP="008F312F">
            <w:pPr>
              <w:spacing w:line="264" w:lineRule="auto"/>
              <w:rPr>
                <w:rFonts w:ascii="Arial" w:eastAsia="Arial" w:hAnsi="Arial" w:cs="Arial"/>
                <w:color w:val="000000" w:themeColor="text1"/>
                <w:sz w:val="24"/>
                <w:szCs w:val="24"/>
              </w:rPr>
            </w:pPr>
            <w:r>
              <w:rPr>
                <w:rFonts w:ascii="Arial" w:eastAsia="Arial" w:hAnsi="Arial" w:cs="Arial"/>
                <w:color w:val="000000" w:themeColor="text1"/>
                <w:sz w:val="24"/>
                <w:szCs w:val="24"/>
              </w:rPr>
              <w:t>Green</w:t>
            </w:r>
          </w:p>
        </w:tc>
      </w:tr>
      <w:tr w:rsidR="0086618B" w:rsidRPr="006E21A3" w14:paraId="26623D7D" w14:textId="77777777" w:rsidTr="0B070F55">
        <w:tc>
          <w:tcPr>
            <w:tcW w:w="2354" w:type="dxa"/>
            <w:vMerge/>
          </w:tcPr>
          <w:p w14:paraId="1D73C910" w14:textId="09146BCB" w:rsidR="003F596D" w:rsidRPr="006E21A3" w:rsidRDefault="003F596D" w:rsidP="008F312F">
            <w:pPr>
              <w:pStyle w:val="Heading1"/>
              <w:spacing w:line="420" w:lineRule="atLeast"/>
              <w:ind w:left="360"/>
              <w:outlineLvl w:val="0"/>
              <w:rPr>
                <w:rFonts w:ascii="Arial" w:hAnsi="Arial" w:cs="Arial"/>
                <w:b/>
                <w:bCs/>
                <w:color w:val="000000" w:themeColor="text1"/>
                <w:sz w:val="28"/>
                <w:szCs w:val="28"/>
              </w:rPr>
            </w:pPr>
          </w:p>
        </w:tc>
        <w:tc>
          <w:tcPr>
            <w:tcW w:w="1725" w:type="dxa"/>
          </w:tcPr>
          <w:p w14:paraId="7DF5264D" w14:textId="77777777" w:rsidR="003F596D" w:rsidRPr="006E21A3" w:rsidRDefault="003F596D" w:rsidP="008F312F">
            <w:pPr>
              <w:spacing w:line="264" w:lineRule="auto"/>
              <w:rPr>
                <w:rFonts w:ascii="Arial" w:hAnsi="Arial" w:cs="Arial"/>
                <w:color w:val="000000" w:themeColor="text1"/>
                <w:sz w:val="24"/>
                <w:szCs w:val="24"/>
              </w:rPr>
            </w:pPr>
            <w:r w:rsidRPr="006E21A3">
              <w:rPr>
                <w:rFonts w:ascii="Arial" w:hAnsi="Arial" w:cs="Arial"/>
                <w:sz w:val="24"/>
                <w:szCs w:val="24"/>
              </w:rPr>
              <w:t>5.7</w:t>
            </w:r>
          </w:p>
        </w:tc>
        <w:tc>
          <w:tcPr>
            <w:tcW w:w="3221" w:type="dxa"/>
          </w:tcPr>
          <w:p w14:paraId="40CB60B8" w14:textId="77777777" w:rsidR="003F596D" w:rsidRPr="006E21A3" w:rsidRDefault="003F596D" w:rsidP="008F312F">
            <w:pPr>
              <w:spacing w:line="264" w:lineRule="auto"/>
              <w:rPr>
                <w:rFonts w:ascii="Arial" w:hAnsi="Arial" w:cs="Arial"/>
                <w:color w:val="000000" w:themeColor="text1"/>
                <w:sz w:val="24"/>
                <w:szCs w:val="24"/>
              </w:rPr>
            </w:pPr>
            <w:r w:rsidRPr="006E21A3">
              <w:rPr>
                <w:rFonts w:ascii="Arial" w:eastAsia="Times New Roman" w:hAnsi="Arial" w:cs="Arial"/>
                <w:color w:val="212121"/>
                <w:spacing w:val="-5"/>
                <w:sz w:val="24"/>
                <w:szCs w:val="24"/>
                <w:lang w:eastAsia="en-GB"/>
              </w:rPr>
              <w:t>Reduce gap between disabled colleagues and non-disabled colleagues who say that they have experienced bullying or harassment</w:t>
            </w:r>
          </w:p>
        </w:tc>
        <w:tc>
          <w:tcPr>
            <w:tcW w:w="6636" w:type="dxa"/>
          </w:tcPr>
          <w:p w14:paraId="554A395A" w14:textId="742FAA17" w:rsidR="003F596D" w:rsidRPr="006E21A3" w:rsidRDefault="003F596D" w:rsidP="008F312F">
            <w:pPr>
              <w:spacing w:line="264" w:lineRule="auto"/>
              <w:rPr>
                <w:rFonts w:ascii="Arial" w:eastAsia="Arial" w:hAnsi="Arial" w:cs="Arial"/>
                <w:color w:val="000000" w:themeColor="text1"/>
                <w:sz w:val="24"/>
                <w:szCs w:val="24"/>
              </w:rPr>
            </w:pPr>
            <w:r w:rsidRPr="305BB662">
              <w:rPr>
                <w:rFonts w:ascii="Arial" w:eastAsia="Arial" w:hAnsi="Arial" w:cs="Arial"/>
                <w:color w:val="000000" w:themeColor="text1"/>
                <w:sz w:val="24"/>
                <w:szCs w:val="24"/>
              </w:rPr>
              <w:t xml:space="preserve">The 2021 Workforce Disability Equality Standard </w:t>
            </w:r>
            <w:r w:rsidRPr="711BBDBA">
              <w:rPr>
                <w:rFonts w:ascii="Arial" w:eastAsia="Arial" w:hAnsi="Arial" w:cs="Arial"/>
                <w:color w:val="000000" w:themeColor="text1"/>
                <w:sz w:val="24"/>
                <w:szCs w:val="24"/>
              </w:rPr>
              <w:t>(</w:t>
            </w:r>
            <w:r w:rsidRPr="4DC9A7B3">
              <w:rPr>
                <w:rFonts w:ascii="Arial" w:eastAsia="Arial" w:hAnsi="Arial" w:cs="Arial"/>
                <w:color w:val="000000" w:themeColor="text1"/>
                <w:sz w:val="24"/>
                <w:szCs w:val="24"/>
              </w:rPr>
              <w:t>WDES) Annual</w:t>
            </w:r>
            <w:r w:rsidRPr="305BB662">
              <w:rPr>
                <w:rFonts w:ascii="Arial" w:eastAsia="Arial" w:hAnsi="Arial" w:cs="Arial"/>
                <w:color w:val="000000" w:themeColor="text1"/>
                <w:sz w:val="24"/>
                <w:szCs w:val="24"/>
              </w:rPr>
              <w:t xml:space="preserve"> Report </w:t>
            </w:r>
            <w:r w:rsidRPr="730A98B3">
              <w:rPr>
                <w:rFonts w:ascii="Arial" w:eastAsia="Arial" w:hAnsi="Arial" w:cs="Arial"/>
                <w:color w:val="000000" w:themeColor="text1"/>
                <w:sz w:val="24"/>
                <w:szCs w:val="24"/>
              </w:rPr>
              <w:t>shows</w:t>
            </w:r>
            <w:r w:rsidRPr="305BB662">
              <w:rPr>
                <w:rFonts w:ascii="Arial" w:eastAsia="Arial" w:hAnsi="Arial" w:cs="Arial"/>
                <w:color w:val="000000" w:themeColor="text1"/>
                <w:sz w:val="24"/>
                <w:szCs w:val="24"/>
              </w:rPr>
              <w:t xml:space="preserve"> 16.9% of disabled colleagues had reported experiencing bullying, harassment or abuse from other CQC staff compared to 7.1% of non-disabled colleagues.</w:t>
            </w:r>
            <w:r w:rsidR="00E1032E">
              <w:rPr>
                <w:rFonts w:ascii="Arial" w:eastAsia="Arial" w:hAnsi="Arial" w:cs="Arial"/>
                <w:color w:val="000000" w:themeColor="text1"/>
                <w:sz w:val="24"/>
                <w:szCs w:val="24"/>
              </w:rPr>
              <w:t xml:space="preserve"> </w:t>
            </w:r>
            <w:r w:rsidR="00C80EAD">
              <w:rPr>
                <w:rFonts w:ascii="Arial" w:eastAsia="Arial" w:hAnsi="Arial" w:cs="Arial"/>
                <w:color w:val="000000" w:themeColor="text1"/>
                <w:sz w:val="24"/>
                <w:szCs w:val="24"/>
              </w:rPr>
              <w:t>However, all figures have improved since the 2020 report (-3.1% for disabled colleagues, -1.9% for non- disabled colleagues).</w:t>
            </w:r>
          </w:p>
        </w:tc>
        <w:tc>
          <w:tcPr>
            <w:tcW w:w="1574" w:type="dxa"/>
            <w:shd w:val="clear" w:color="auto" w:fill="92D050"/>
          </w:tcPr>
          <w:p w14:paraId="1B87089D" w14:textId="3BCDB89F" w:rsidR="003F596D" w:rsidRDefault="005239D7" w:rsidP="008F312F">
            <w:pPr>
              <w:spacing w:line="264" w:lineRule="auto"/>
              <w:rPr>
                <w:rFonts w:ascii="Arial" w:eastAsia="Arial" w:hAnsi="Arial" w:cs="Arial"/>
                <w:color w:val="000000" w:themeColor="text1"/>
                <w:sz w:val="24"/>
                <w:szCs w:val="24"/>
              </w:rPr>
            </w:pPr>
            <w:r>
              <w:rPr>
                <w:rFonts w:ascii="Arial" w:eastAsia="Arial" w:hAnsi="Arial" w:cs="Arial"/>
                <w:color w:val="000000" w:themeColor="text1"/>
                <w:sz w:val="24"/>
                <w:szCs w:val="24"/>
              </w:rPr>
              <w:t>Green</w:t>
            </w:r>
          </w:p>
        </w:tc>
      </w:tr>
      <w:tr w:rsidR="0086618B" w:rsidRPr="006E21A3" w14:paraId="0EB2EE84" w14:textId="77777777" w:rsidTr="0B070F55">
        <w:tc>
          <w:tcPr>
            <w:tcW w:w="2354" w:type="dxa"/>
            <w:vMerge/>
          </w:tcPr>
          <w:p w14:paraId="21DD9EB5" w14:textId="77777777" w:rsidR="003F596D" w:rsidRPr="006E21A3" w:rsidRDefault="003F596D" w:rsidP="008F312F">
            <w:pPr>
              <w:pStyle w:val="Heading1"/>
              <w:spacing w:line="420" w:lineRule="atLeast"/>
              <w:ind w:left="360"/>
              <w:outlineLvl w:val="0"/>
              <w:rPr>
                <w:rFonts w:ascii="Arial" w:hAnsi="Arial" w:cs="Arial"/>
                <w:b/>
                <w:bCs/>
                <w:color w:val="000000" w:themeColor="text1"/>
                <w:sz w:val="28"/>
                <w:szCs w:val="28"/>
              </w:rPr>
            </w:pPr>
          </w:p>
        </w:tc>
        <w:tc>
          <w:tcPr>
            <w:tcW w:w="1725" w:type="dxa"/>
          </w:tcPr>
          <w:p w14:paraId="4E1E455E" w14:textId="77777777" w:rsidR="003F596D" w:rsidRPr="006E21A3" w:rsidRDefault="003F596D" w:rsidP="008F312F">
            <w:pPr>
              <w:spacing w:line="264" w:lineRule="auto"/>
              <w:rPr>
                <w:rFonts w:ascii="Arial" w:hAnsi="Arial" w:cs="Arial"/>
                <w:color w:val="000000" w:themeColor="text1"/>
                <w:sz w:val="24"/>
                <w:szCs w:val="24"/>
              </w:rPr>
            </w:pPr>
            <w:r w:rsidRPr="006E21A3">
              <w:rPr>
                <w:rFonts w:ascii="Arial" w:hAnsi="Arial" w:cs="Arial"/>
                <w:sz w:val="24"/>
                <w:szCs w:val="24"/>
              </w:rPr>
              <w:t>5.8</w:t>
            </w:r>
          </w:p>
        </w:tc>
        <w:tc>
          <w:tcPr>
            <w:tcW w:w="3221" w:type="dxa"/>
          </w:tcPr>
          <w:p w14:paraId="7A580927" w14:textId="77777777" w:rsidR="003F596D" w:rsidRPr="006E21A3" w:rsidRDefault="003F596D" w:rsidP="008F312F">
            <w:pPr>
              <w:spacing w:line="264" w:lineRule="auto"/>
              <w:rPr>
                <w:rFonts w:ascii="Arial" w:hAnsi="Arial" w:cs="Arial"/>
                <w:color w:val="000000" w:themeColor="text1"/>
                <w:sz w:val="24"/>
                <w:szCs w:val="24"/>
              </w:rPr>
            </w:pPr>
            <w:r w:rsidRPr="006E21A3">
              <w:rPr>
                <w:rFonts w:ascii="Arial" w:eastAsia="Times New Roman" w:hAnsi="Arial" w:cs="Arial"/>
                <w:color w:val="212121"/>
                <w:spacing w:val="-5"/>
                <w:sz w:val="24"/>
                <w:szCs w:val="24"/>
                <w:lang w:eastAsia="en-GB"/>
              </w:rPr>
              <w:t>Reduce gap between disabled colleagues and non-disabled colleagues who say that we provide equality in career progression and that their contributions to CQC are recognised</w:t>
            </w:r>
          </w:p>
        </w:tc>
        <w:tc>
          <w:tcPr>
            <w:tcW w:w="6636" w:type="dxa"/>
          </w:tcPr>
          <w:p w14:paraId="6ED554A7" w14:textId="77777777" w:rsidR="003F596D" w:rsidRDefault="003F596D" w:rsidP="008F312F">
            <w:pPr>
              <w:spacing w:line="264" w:lineRule="auto"/>
              <w:rPr>
                <w:rFonts w:ascii="Arial" w:eastAsia="Arial" w:hAnsi="Arial" w:cs="Arial"/>
                <w:color w:val="000000" w:themeColor="text1"/>
                <w:sz w:val="24"/>
                <w:szCs w:val="24"/>
              </w:rPr>
            </w:pPr>
            <w:r w:rsidRPr="3F65EBF6">
              <w:rPr>
                <w:rFonts w:ascii="Arial" w:eastAsia="Arial" w:hAnsi="Arial" w:cs="Arial"/>
                <w:color w:val="000000" w:themeColor="text1"/>
                <w:sz w:val="24"/>
                <w:szCs w:val="24"/>
              </w:rPr>
              <w:t xml:space="preserve">The 2021 Workforce Disability Equality Standard (WDES) Annual Report </w:t>
            </w:r>
            <w:r w:rsidRPr="0097E7C0">
              <w:rPr>
                <w:rFonts w:ascii="Arial" w:eastAsia="Arial" w:hAnsi="Arial" w:cs="Arial"/>
                <w:color w:val="000000" w:themeColor="text1"/>
                <w:sz w:val="24"/>
                <w:szCs w:val="24"/>
              </w:rPr>
              <w:t>shows</w:t>
            </w:r>
            <w:r w:rsidRPr="3F65EBF6">
              <w:rPr>
                <w:rFonts w:ascii="Arial" w:eastAsia="Arial" w:hAnsi="Arial" w:cs="Arial"/>
                <w:color w:val="000000" w:themeColor="text1"/>
                <w:sz w:val="24"/>
                <w:szCs w:val="24"/>
              </w:rPr>
              <w:t xml:space="preserve"> </w:t>
            </w:r>
            <w:r w:rsidRPr="78C1BFE7">
              <w:rPr>
                <w:rFonts w:ascii="Arial" w:eastAsia="Arial" w:hAnsi="Arial" w:cs="Arial"/>
                <w:color w:val="000000" w:themeColor="text1"/>
                <w:sz w:val="24"/>
                <w:szCs w:val="24"/>
              </w:rPr>
              <w:t>37.4</w:t>
            </w:r>
            <w:r w:rsidRPr="04304121">
              <w:rPr>
                <w:rFonts w:ascii="Arial" w:eastAsia="Arial" w:hAnsi="Arial" w:cs="Arial"/>
                <w:color w:val="000000" w:themeColor="text1"/>
                <w:sz w:val="24"/>
                <w:szCs w:val="24"/>
              </w:rPr>
              <w:t xml:space="preserve">% </w:t>
            </w:r>
            <w:r w:rsidRPr="527D9785">
              <w:rPr>
                <w:rFonts w:ascii="Arial" w:eastAsia="Arial" w:hAnsi="Arial" w:cs="Arial"/>
                <w:color w:val="000000" w:themeColor="text1"/>
                <w:sz w:val="24"/>
                <w:szCs w:val="24"/>
              </w:rPr>
              <w:t xml:space="preserve">of disabled </w:t>
            </w:r>
            <w:r w:rsidRPr="76E7E903">
              <w:rPr>
                <w:rFonts w:ascii="Arial" w:eastAsia="Arial" w:hAnsi="Arial" w:cs="Arial"/>
                <w:color w:val="000000" w:themeColor="text1"/>
                <w:sz w:val="24"/>
                <w:szCs w:val="24"/>
              </w:rPr>
              <w:t xml:space="preserve">colleagues </w:t>
            </w:r>
            <w:r w:rsidRPr="5EEF82F1">
              <w:rPr>
                <w:rFonts w:ascii="Arial" w:eastAsia="Arial" w:hAnsi="Arial" w:cs="Arial"/>
                <w:color w:val="000000" w:themeColor="text1"/>
                <w:sz w:val="24"/>
                <w:szCs w:val="24"/>
              </w:rPr>
              <w:t xml:space="preserve">believe that CQC provides equal opportunities for career progression or promotion compared to 53.2% of </w:t>
            </w:r>
            <w:r w:rsidRPr="04EEB465">
              <w:rPr>
                <w:rFonts w:ascii="Arial" w:eastAsia="Arial" w:hAnsi="Arial" w:cs="Arial"/>
                <w:color w:val="000000" w:themeColor="text1"/>
                <w:sz w:val="24"/>
                <w:szCs w:val="24"/>
              </w:rPr>
              <w:t>non-disabled colleagues.</w:t>
            </w:r>
            <w:r w:rsidR="005E3131">
              <w:rPr>
                <w:rFonts w:ascii="Arial" w:eastAsia="Arial" w:hAnsi="Arial" w:cs="Arial"/>
                <w:color w:val="000000" w:themeColor="text1"/>
                <w:sz w:val="24"/>
                <w:szCs w:val="24"/>
              </w:rPr>
              <w:t xml:space="preserve"> </w:t>
            </w:r>
          </w:p>
          <w:p w14:paraId="1E640D7D" w14:textId="2C21CF90" w:rsidR="00496E32" w:rsidRPr="006E21A3" w:rsidRDefault="00496E32" w:rsidP="008F312F">
            <w:pPr>
              <w:spacing w:line="264" w:lineRule="auto"/>
              <w:rPr>
                <w:rFonts w:ascii="Arial" w:eastAsia="Arial" w:hAnsi="Arial" w:cs="Arial"/>
                <w:color w:val="000000" w:themeColor="text1"/>
                <w:sz w:val="24"/>
                <w:szCs w:val="24"/>
              </w:rPr>
            </w:pPr>
            <w:r w:rsidRPr="00496E32">
              <w:rPr>
                <w:rFonts w:ascii="Arial" w:eastAsia="Arial" w:hAnsi="Arial" w:cs="Arial"/>
                <w:color w:val="000000" w:themeColor="text1"/>
                <w:sz w:val="24"/>
                <w:szCs w:val="24"/>
              </w:rPr>
              <w:t xml:space="preserve">The figure has declined since the 2020 report </w:t>
            </w:r>
            <w:r>
              <w:rPr>
                <w:rFonts w:ascii="Arial" w:eastAsia="Arial" w:hAnsi="Arial" w:cs="Arial"/>
                <w:color w:val="000000" w:themeColor="text1"/>
                <w:sz w:val="24"/>
                <w:szCs w:val="24"/>
              </w:rPr>
              <w:t xml:space="preserve">(-2.6%) </w:t>
            </w:r>
            <w:r w:rsidRPr="00496E32">
              <w:rPr>
                <w:rFonts w:ascii="Arial" w:eastAsia="Arial" w:hAnsi="Arial" w:cs="Arial"/>
                <w:color w:val="000000" w:themeColor="text1"/>
                <w:sz w:val="24"/>
                <w:szCs w:val="24"/>
              </w:rPr>
              <w:t>whereas the equivalent figure for non-disabled respondents has increased</w:t>
            </w:r>
            <w:r>
              <w:rPr>
                <w:rFonts w:ascii="Arial" w:eastAsia="Arial" w:hAnsi="Arial" w:cs="Arial"/>
                <w:color w:val="000000" w:themeColor="text1"/>
                <w:sz w:val="24"/>
                <w:szCs w:val="24"/>
              </w:rPr>
              <w:t xml:space="preserve"> (+1.1%)</w:t>
            </w:r>
            <w:r w:rsidRPr="00496E32">
              <w:rPr>
                <w:rFonts w:ascii="Arial" w:eastAsia="Arial" w:hAnsi="Arial" w:cs="Arial"/>
                <w:color w:val="000000" w:themeColor="text1"/>
                <w:sz w:val="24"/>
                <w:szCs w:val="24"/>
              </w:rPr>
              <w:t>.</w:t>
            </w:r>
          </w:p>
        </w:tc>
        <w:tc>
          <w:tcPr>
            <w:tcW w:w="1574" w:type="dxa"/>
            <w:shd w:val="clear" w:color="auto" w:fill="FF7C80"/>
          </w:tcPr>
          <w:p w14:paraId="7F6632AC" w14:textId="2F38419A" w:rsidR="003F596D" w:rsidRDefault="0041730F" w:rsidP="008F312F">
            <w:pPr>
              <w:spacing w:line="264" w:lineRule="auto"/>
              <w:rPr>
                <w:rFonts w:ascii="Arial" w:eastAsia="Arial" w:hAnsi="Arial" w:cs="Arial"/>
                <w:color w:val="000000" w:themeColor="text1"/>
                <w:sz w:val="24"/>
                <w:szCs w:val="24"/>
              </w:rPr>
            </w:pPr>
            <w:r>
              <w:rPr>
                <w:rFonts w:ascii="Arial" w:eastAsia="Arial" w:hAnsi="Arial" w:cs="Arial"/>
                <w:color w:val="000000" w:themeColor="text1"/>
                <w:sz w:val="24"/>
                <w:szCs w:val="24"/>
              </w:rPr>
              <w:t>Red</w:t>
            </w:r>
          </w:p>
        </w:tc>
      </w:tr>
      <w:tr w:rsidR="0086618B" w:rsidRPr="006E21A3" w14:paraId="0584ACAA" w14:textId="77777777" w:rsidTr="0B070F55">
        <w:tc>
          <w:tcPr>
            <w:tcW w:w="2354" w:type="dxa"/>
            <w:vMerge/>
          </w:tcPr>
          <w:p w14:paraId="01750584" w14:textId="77777777" w:rsidR="003F596D" w:rsidRPr="006E21A3" w:rsidRDefault="003F596D" w:rsidP="008F312F">
            <w:pPr>
              <w:pStyle w:val="Heading1"/>
              <w:spacing w:line="420" w:lineRule="atLeast"/>
              <w:ind w:left="360"/>
              <w:outlineLvl w:val="0"/>
              <w:rPr>
                <w:rFonts w:ascii="Arial" w:hAnsi="Arial" w:cs="Arial"/>
                <w:b/>
                <w:bCs/>
                <w:color w:val="000000" w:themeColor="text1"/>
                <w:sz w:val="28"/>
                <w:szCs w:val="28"/>
              </w:rPr>
            </w:pPr>
          </w:p>
        </w:tc>
        <w:tc>
          <w:tcPr>
            <w:tcW w:w="1725" w:type="dxa"/>
          </w:tcPr>
          <w:p w14:paraId="016137FA" w14:textId="77777777" w:rsidR="003F596D" w:rsidRPr="006E21A3" w:rsidRDefault="003F596D" w:rsidP="008F312F">
            <w:pPr>
              <w:spacing w:line="264" w:lineRule="auto"/>
              <w:rPr>
                <w:rFonts w:ascii="Arial" w:hAnsi="Arial" w:cs="Arial"/>
                <w:color w:val="000000" w:themeColor="text1"/>
                <w:sz w:val="24"/>
                <w:szCs w:val="24"/>
              </w:rPr>
            </w:pPr>
            <w:r w:rsidRPr="006E21A3">
              <w:rPr>
                <w:rFonts w:ascii="Arial" w:hAnsi="Arial" w:cs="Arial"/>
                <w:sz w:val="24"/>
                <w:szCs w:val="24"/>
              </w:rPr>
              <w:t>5.9</w:t>
            </w:r>
          </w:p>
        </w:tc>
        <w:tc>
          <w:tcPr>
            <w:tcW w:w="3221" w:type="dxa"/>
          </w:tcPr>
          <w:p w14:paraId="09AD2CF2" w14:textId="77777777" w:rsidR="003F596D" w:rsidRPr="006E21A3" w:rsidRDefault="003F596D" w:rsidP="008F312F">
            <w:pPr>
              <w:spacing w:line="264" w:lineRule="auto"/>
              <w:rPr>
                <w:rFonts w:ascii="Arial" w:hAnsi="Arial" w:cs="Arial"/>
                <w:color w:val="000000" w:themeColor="text1"/>
                <w:sz w:val="24"/>
                <w:szCs w:val="24"/>
              </w:rPr>
            </w:pPr>
            <w:r w:rsidRPr="006E21A3">
              <w:rPr>
                <w:rFonts w:ascii="Arial" w:eastAsia="Times New Roman" w:hAnsi="Arial" w:cs="Arial"/>
                <w:color w:val="212121"/>
                <w:spacing w:val="-5"/>
                <w:sz w:val="24"/>
                <w:szCs w:val="24"/>
                <w:lang w:eastAsia="en-GB"/>
              </w:rPr>
              <w:t xml:space="preserve">Improve percentage of colleagues who have had reasonable adjustment </w:t>
            </w:r>
            <w:r w:rsidRPr="006E21A3">
              <w:rPr>
                <w:rFonts w:ascii="Arial" w:eastAsia="Times New Roman" w:hAnsi="Arial" w:cs="Arial"/>
                <w:color w:val="212121"/>
                <w:spacing w:val="-5"/>
                <w:sz w:val="24"/>
                <w:szCs w:val="24"/>
                <w:lang w:eastAsia="en-GB"/>
              </w:rPr>
              <w:lastRenderedPageBreak/>
              <w:t>requests met from 51% to 100% by March 2022</w:t>
            </w:r>
          </w:p>
        </w:tc>
        <w:tc>
          <w:tcPr>
            <w:tcW w:w="6636" w:type="dxa"/>
          </w:tcPr>
          <w:p w14:paraId="53A1E497" w14:textId="3B69E333" w:rsidR="003F596D" w:rsidRPr="006E21A3" w:rsidRDefault="003F596D" w:rsidP="008F312F">
            <w:pPr>
              <w:spacing w:line="264" w:lineRule="auto"/>
              <w:rPr>
                <w:rFonts w:ascii="Arial" w:eastAsia="Arial" w:hAnsi="Arial" w:cs="Arial"/>
                <w:color w:val="000000" w:themeColor="text1"/>
                <w:sz w:val="24"/>
                <w:szCs w:val="24"/>
                <w:lang w:val="en-US"/>
              </w:rPr>
            </w:pPr>
            <w:r w:rsidRPr="0914569E">
              <w:rPr>
                <w:rFonts w:ascii="Arial" w:eastAsia="Arial" w:hAnsi="Arial" w:cs="Arial"/>
                <w:color w:val="000000" w:themeColor="text1"/>
                <w:sz w:val="24"/>
                <w:szCs w:val="24"/>
              </w:rPr>
              <w:lastRenderedPageBreak/>
              <w:t>The 2021 Workforce Disability Equality Standard (WDES) Annual Report shows</w:t>
            </w:r>
            <w:r w:rsidRPr="37D4EDDE">
              <w:rPr>
                <w:rFonts w:ascii="Arial" w:eastAsia="Arial" w:hAnsi="Arial" w:cs="Arial"/>
                <w:color w:val="000000" w:themeColor="text1"/>
                <w:sz w:val="24"/>
                <w:szCs w:val="24"/>
              </w:rPr>
              <w:t xml:space="preserve"> </w:t>
            </w:r>
            <w:r w:rsidRPr="6DF9B885">
              <w:rPr>
                <w:rFonts w:ascii="Arial" w:eastAsia="Arial" w:hAnsi="Arial" w:cs="Arial"/>
                <w:color w:val="000000" w:themeColor="text1"/>
                <w:sz w:val="24"/>
                <w:szCs w:val="24"/>
              </w:rPr>
              <w:t>CQC</w:t>
            </w:r>
            <w:r w:rsidRPr="63A372C3">
              <w:rPr>
                <w:rFonts w:ascii="Arial" w:eastAsia="Arial" w:hAnsi="Arial" w:cs="Arial"/>
                <w:color w:val="000000" w:themeColor="text1"/>
                <w:sz w:val="24"/>
                <w:szCs w:val="24"/>
              </w:rPr>
              <w:t xml:space="preserve"> </w:t>
            </w:r>
            <w:r w:rsidRPr="20217EBB">
              <w:rPr>
                <w:rFonts w:ascii="Arial" w:eastAsia="Arial" w:hAnsi="Arial" w:cs="Arial"/>
                <w:color w:val="000000" w:themeColor="text1"/>
                <w:sz w:val="24"/>
                <w:szCs w:val="24"/>
                <w:lang w:val="en-US"/>
              </w:rPr>
              <w:t xml:space="preserve">made appropriate reasonable adjustments to 67% of disabled colleagues to enable them </w:t>
            </w:r>
            <w:r w:rsidRPr="20217EBB">
              <w:rPr>
                <w:rFonts w:ascii="Arial" w:eastAsia="Arial" w:hAnsi="Arial" w:cs="Arial"/>
                <w:color w:val="000000" w:themeColor="text1"/>
                <w:sz w:val="24"/>
                <w:szCs w:val="24"/>
                <w:lang w:val="en-US"/>
              </w:rPr>
              <w:lastRenderedPageBreak/>
              <w:t>to carry out their work.</w:t>
            </w:r>
            <w:r w:rsidR="00920B52">
              <w:rPr>
                <w:rFonts w:ascii="Arial" w:eastAsia="Arial" w:hAnsi="Arial" w:cs="Arial"/>
                <w:color w:val="000000" w:themeColor="text1"/>
                <w:sz w:val="24"/>
                <w:szCs w:val="24"/>
                <w:lang w:val="en-US"/>
              </w:rPr>
              <w:t xml:space="preserve"> </w:t>
            </w:r>
            <w:r w:rsidR="00AC1EF7">
              <w:rPr>
                <w:rFonts w:ascii="Arial" w:eastAsia="Arial" w:hAnsi="Arial" w:cs="Arial"/>
                <w:color w:val="000000" w:themeColor="text1"/>
                <w:sz w:val="24"/>
                <w:szCs w:val="24"/>
                <w:lang w:val="en-US"/>
              </w:rPr>
              <w:t>The figure has improved since the 2020 report (+16.1%).</w:t>
            </w:r>
          </w:p>
        </w:tc>
        <w:tc>
          <w:tcPr>
            <w:tcW w:w="1574" w:type="dxa"/>
            <w:shd w:val="clear" w:color="auto" w:fill="92D050"/>
          </w:tcPr>
          <w:p w14:paraId="04CB478D" w14:textId="5F888258" w:rsidR="003F596D" w:rsidRDefault="7EC14A2E" w:rsidP="7EC14A2E">
            <w:pPr>
              <w:spacing w:line="264" w:lineRule="auto"/>
            </w:pPr>
            <w:r w:rsidRPr="7EC14A2E">
              <w:rPr>
                <w:rFonts w:ascii="Arial" w:eastAsia="Arial" w:hAnsi="Arial" w:cs="Arial"/>
                <w:color w:val="000000" w:themeColor="text1"/>
                <w:sz w:val="24"/>
                <w:szCs w:val="24"/>
              </w:rPr>
              <w:lastRenderedPageBreak/>
              <w:t>Green</w:t>
            </w:r>
          </w:p>
        </w:tc>
      </w:tr>
      <w:tr w:rsidR="0086618B" w:rsidRPr="006E21A3" w14:paraId="408CEB73" w14:textId="77777777" w:rsidTr="0B070F55">
        <w:tc>
          <w:tcPr>
            <w:tcW w:w="2354" w:type="dxa"/>
            <w:vMerge/>
          </w:tcPr>
          <w:p w14:paraId="4DE0B153" w14:textId="77777777" w:rsidR="003F596D" w:rsidRPr="006E21A3" w:rsidRDefault="003F596D" w:rsidP="008F312F">
            <w:pPr>
              <w:pStyle w:val="Heading1"/>
              <w:spacing w:line="420" w:lineRule="atLeast"/>
              <w:ind w:left="360"/>
              <w:outlineLvl w:val="0"/>
              <w:rPr>
                <w:rFonts w:ascii="Arial" w:hAnsi="Arial" w:cs="Arial"/>
                <w:b/>
                <w:bCs/>
                <w:color w:val="000000" w:themeColor="text1"/>
                <w:sz w:val="28"/>
                <w:szCs w:val="28"/>
              </w:rPr>
            </w:pPr>
          </w:p>
        </w:tc>
        <w:tc>
          <w:tcPr>
            <w:tcW w:w="1725" w:type="dxa"/>
          </w:tcPr>
          <w:p w14:paraId="3FFFA680" w14:textId="77777777" w:rsidR="003F596D" w:rsidRPr="006E21A3" w:rsidRDefault="003F596D" w:rsidP="008F312F">
            <w:pPr>
              <w:spacing w:line="264" w:lineRule="auto"/>
              <w:rPr>
                <w:rFonts w:ascii="Arial" w:hAnsi="Arial" w:cs="Arial"/>
                <w:color w:val="000000" w:themeColor="text1"/>
                <w:sz w:val="24"/>
                <w:szCs w:val="24"/>
              </w:rPr>
            </w:pPr>
            <w:r w:rsidRPr="006E21A3">
              <w:rPr>
                <w:rFonts w:ascii="Arial" w:hAnsi="Arial" w:cs="Arial"/>
                <w:sz w:val="24"/>
                <w:szCs w:val="24"/>
              </w:rPr>
              <w:t>5.10</w:t>
            </w:r>
          </w:p>
        </w:tc>
        <w:tc>
          <w:tcPr>
            <w:tcW w:w="3221" w:type="dxa"/>
          </w:tcPr>
          <w:p w14:paraId="4DA3652D" w14:textId="77777777" w:rsidR="003F596D" w:rsidRPr="006E21A3" w:rsidRDefault="003F596D" w:rsidP="008F312F">
            <w:pPr>
              <w:spacing w:line="264" w:lineRule="auto"/>
              <w:rPr>
                <w:rFonts w:ascii="Arial" w:hAnsi="Arial" w:cs="Arial"/>
                <w:color w:val="000000" w:themeColor="text1"/>
                <w:sz w:val="24"/>
                <w:szCs w:val="24"/>
              </w:rPr>
            </w:pPr>
            <w:r w:rsidRPr="006E21A3">
              <w:rPr>
                <w:rFonts w:ascii="Arial" w:eastAsia="Times New Roman" w:hAnsi="Arial" w:cs="Arial"/>
                <w:color w:val="212121"/>
                <w:spacing w:val="-5"/>
                <w:sz w:val="24"/>
                <w:szCs w:val="24"/>
                <w:lang w:eastAsia="en-GB"/>
              </w:rPr>
              <w:t>Achieve Disability confident employer level 3 by March 2023</w:t>
            </w:r>
          </w:p>
        </w:tc>
        <w:tc>
          <w:tcPr>
            <w:tcW w:w="6636" w:type="dxa"/>
          </w:tcPr>
          <w:p w14:paraId="106D3FAD" w14:textId="6FE40ACF" w:rsidR="003F596D" w:rsidRPr="006E21A3" w:rsidRDefault="003F596D" w:rsidP="008F312F">
            <w:pPr>
              <w:spacing w:line="264" w:lineRule="auto"/>
              <w:rPr>
                <w:rFonts w:ascii="Arial" w:hAnsi="Arial" w:cs="Arial"/>
                <w:color w:val="000000" w:themeColor="text1"/>
                <w:sz w:val="24"/>
                <w:szCs w:val="24"/>
              </w:rPr>
            </w:pPr>
            <w:r w:rsidRPr="43C25A92">
              <w:rPr>
                <w:rFonts w:ascii="Arial" w:hAnsi="Arial" w:cs="Arial"/>
                <w:color w:val="000000" w:themeColor="text1"/>
                <w:sz w:val="24"/>
                <w:szCs w:val="24"/>
              </w:rPr>
              <w:t xml:space="preserve">We </w:t>
            </w:r>
            <w:r w:rsidR="009773EB">
              <w:rPr>
                <w:rFonts w:ascii="Arial" w:hAnsi="Arial" w:cs="Arial"/>
                <w:color w:val="000000" w:themeColor="text1"/>
                <w:sz w:val="24"/>
                <w:szCs w:val="24"/>
              </w:rPr>
              <w:t xml:space="preserve">have </w:t>
            </w:r>
            <w:r w:rsidR="00AC7864">
              <w:rPr>
                <w:rFonts w:ascii="Arial" w:hAnsi="Arial" w:cs="Arial"/>
                <w:color w:val="000000" w:themeColor="text1"/>
                <w:sz w:val="24"/>
                <w:szCs w:val="24"/>
              </w:rPr>
              <w:t xml:space="preserve">received </w:t>
            </w:r>
            <w:r w:rsidRPr="43C25A92">
              <w:rPr>
                <w:rFonts w:ascii="Arial" w:hAnsi="Arial" w:cs="Arial"/>
                <w:color w:val="000000" w:themeColor="text1"/>
                <w:sz w:val="24"/>
                <w:szCs w:val="24"/>
              </w:rPr>
              <w:t xml:space="preserve">our </w:t>
            </w:r>
            <w:r w:rsidRPr="2416FB49">
              <w:rPr>
                <w:rFonts w:ascii="Arial" w:hAnsi="Arial" w:cs="Arial"/>
                <w:color w:val="000000" w:themeColor="text1"/>
                <w:sz w:val="24"/>
                <w:szCs w:val="24"/>
              </w:rPr>
              <w:t xml:space="preserve">Disability </w:t>
            </w:r>
            <w:r w:rsidRPr="019829CA">
              <w:rPr>
                <w:rFonts w:ascii="Arial" w:hAnsi="Arial" w:cs="Arial"/>
                <w:color w:val="000000" w:themeColor="text1"/>
                <w:sz w:val="24"/>
                <w:szCs w:val="24"/>
              </w:rPr>
              <w:t xml:space="preserve">confident </w:t>
            </w:r>
            <w:r w:rsidRPr="01DD20B9">
              <w:rPr>
                <w:rFonts w:ascii="Arial" w:hAnsi="Arial" w:cs="Arial"/>
                <w:color w:val="000000" w:themeColor="text1"/>
                <w:sz w:val="24"/>
                <w:szCs w:val="24"/>
              </w:rPr>
              <w:t xml:space="preserve">employer level </w:t>
            </w:r>
            <w:r w:rsidRPr="50FDBBA5">
              <w:rPr>
                <w:rFonts w:ascii="Arial" w:hAnsi="Arial" w:cs="Arial"/>
                <w:color w:val="000000" w:themeColor="text1"/>
                <w:sz w:val="24"/>
                <w:szCs w:val="24"/>
              </w:rPr>
              <w:t xml:space="preserve">2 </w:t>
            </w:r>
            <w:r w:rsidRPr="43C25A92">
              <w:rPr>
                <w:rFonts w:ascii="Arial" w:hAnsi="Arial" w:cs="Arial"/>
                <w:color w:val="000000" w:themeColor="text1"/>
                <w:sz w:val="24"/>
                <w:szCs w:val="24"/>
              </w:rPr>
              <w:t>a</w:t>
            </w:r>
            <w:r w:rsidR="00AC7864">
              <w:rPr>
                <w:rFonts w:ascii="Arial" w:hAnsi="Arial" w:cs="Arial"/>
                <w:color w:val="000000" w:themeColor="text1"/>
                <w:sz w:val="24"/>
                <w:szCs w:val="24"/>
              </w:rPr>
              <w:t>ward</w:t>
            </w:r>
            <w:r w:rsidRPr="50FDBBA5">
              <w:rPr>
                <w:rFonts w:ascii="Arial" w:hAnsi="Arial" w:cs="Arial"/>
                <w:color w:val="000000" w:themeColor="text1"/>
                <w:sz w:val="24"/>
                <w:szCs w:val="24"/>
              </w:rPr>
              <w:t xml:space="preserve"> and </w:t>
            </w:r>
            <w:r w:rsidRPr="43C25A92">
              <w:rPr>
                <w:rFonts w:ascii="Arial" w:hAnsi="Arial" w:cs="Arial"/>
                <w:color w:val="000000" w:themeColor="text1"/>
                <w:sz w:val="24"/>
                <w:szCs w:val="24"/>
              </w:rPr>
              <w:t>are on track</w:t>
            </w:r>
            <w:r w:rsidRPr="50FDBBA5">
              <w:rPr>
                <w:rFonts w:ascii="Arial" w:hAnsi="Arial" w:cs="Arial"/>
                <w:color w:val="000000" w:themeColor="text1"/>
                <w:sz w:val="24"/>
                <w:szCs w:val="24"/>
              </w:rPr>
              <w:t xml:space="preserve"> </w:t>
            </w:r>
            <w:r w:rsidRPr="064F41C5">
              <w:rPr>
                <w:rFonts w:ascii="Arial" w:hAnsi="Arial" w:cs="Arial"/>
                <w:color w:val="000000" w:themeColor="text1"/>
                <w:sz w:val="24"/>
                <w:szCs w:val="24"/>
              </w:rPr>
              <w:t xml:space="preserve">for </w:t>
            </w:r>
            <w:r w:rsidRPr="43C25A92">
              <w:rPr>
                <w:rFonts w:ascii="Arial" w:hAnsi="Arial" w:cs="Arial"/>
                <w:color w:val="000000" w:themeColor="text1"/>
                <w:sz w:val="24"/>
                <w:szCs w:val="24"/>
              </w:rPr>
              <w:t xml:space="preserve">level 3. </w:t>
            </w:r>
          </w:p>
        </w:tc>
        <w:tc>
          <w:tcPr>
            <w:tcW w:w="1574" w:type="dxa"/>
            <w:shd w:val="clear" w:color="auto" w:fill="92D050"/>
          </w:tcPr>
          <w:p w14:paraId="4A307889" w14:textId="75640471" w:rsidR="003F596D" w:rsidRDefault="00033DF2" w:rsidP="008F312F">
            <w:pPr>
              <w:spacing w:line="264" w:lineRule="auto"/>
              <w:rPr>
                <w:rFonts w:ascii="Arial" w:hAnsi="Arial" w:cs="Arial"/>
                <w:color w:val="000000" w:themeColor="text1"/>
                <w:sz w:val="24"/>
                <w:szCs w:val="24"/>
              </w:rPr>
            </w:pPr>
            <w:r>
              <w:rPr>
                <w:rFonts w:ascii="Arial" w:hAnsi="Arial" w:cs="Arial"/>
                <w:color w:val="000000" w:themeColor="text1"/>
                <w:sz w:val="24"/>
                <w:szCs w:val="24"/>
              </w:rPr>
              <w:t>Green</w:t>
            </w:r>
          </w:p>
        </w:tc>
      </w:tr>
      <w:tr w:rsidR="0086618B" w:rsidRPr="006E21A3" w14:paraId="1266B52E" w14:textId="77777777" w:rsidTr="0B070F55">
        <w:tc>
          <w:tcPr>
            <w:tcW w:w="2354" w:type="dxa"/>
            <w:vMerge/>
          </w:tcPr>
          <w:p w14:paraId="79315FC8" w14:textId="77777777" w:rsidR="003F596D" w:rsidRPr="006E21A3" w:rsidRDefault="003F596D" w:rsidP="008F312F">
            <w:pPr>
              <w:pStyle w:val="Heading1"/>
              <w:spacing w:line="420" w:lineRule="atLeast"/>
              <w:ind w:left="360"/>
              <w:outlineLvl w:val="0"/>
              <w:rPr>
                <w:rFonts w:ascii="Arial" w:hAnsi="Arial" w:cs="Arial"/>
                <w:b/>
                <w:bCs/>
                <w:color w:val="000000" w:themeColor="text1"/>
                <w:sz w:val="28"/>
                <w:szCs w:val="28"/>
              </w:rPr>
            </w:pPr>
          </w:p>
        </w:tc>
        <w:tc>
          <w:tcPr>
            <w:tcW w:w="1725" w:type="dxa"/>
          </w:tcPr>
          <w:p w14:paraId="76348705" w14:textId="77777777" w:rsidR="003F596D" w:rsidRPr="006E21A3" w:rsidRDefault="003F596D" w:rsidP="008F312F">
            <w:pPr>
              <w:spacing w:line="264" w:lineRule="auto"/>
              <w:rPr>
                <w:rFonts w:ascii="Arial" w:hAnsi="Arial" w:cs="Arial"/>
                <w:color w:val="000000" w:themeColor="text1"/>
                <w:sz w:val="24"/>
                <w:szCs w:val="24"/>
              </w:rPr>
            </w:pPr>
            <w:r w:rsidRPr="006E21A3">
              <w:rPr>
                <w:rFonts w:ascii="Arial" w:hAnsi="Arial" w:cs="Arial"/>
                <w:sz w:val="24"/>
                <w:szCs w:val="24"/>
              </w:rPr>
              <w:t>5.11</w:t>
            </w:r>
          </w:p>
        </w:tc>
        <w:tc>
          <w:tcPr>
            <w:tcW w:w="3221" w:type="dxa"/>
          </w:tcPr>
          <w:p w14:paraId="582CC553" w14:textId="0FDE41E9" w:rsidR="003F596D" w:rsidRPr="006E21A3" w:rsidRDefault="003F596D" w:rsidP="008F312F">
            <w:pPr>
              <w:spacing w:line="264" w:lineRule="auto"/>
              <w:rPr>
                <w:rFonts w:ascii="Arial" w:hAnsi="Arial" w:cs="Arial"/>
                <w:color w:val="000000" w:themeColor="text1"/>
                <w:sz w:val="24"/>
                <w:szCs w:val="24"/>
              </w:rPr>
            </w:pPr>
            <w:r w:rsidRPr="006E21A3">
              <w:rPr>
                <w:rFonts w:ascii="Arial" w:eastAsia="Times New Roman" w:hAnsi="Arial" w:cs="Arial"/>
                <w:color w:val="212121"/>
                <w:spacing w:val="-5"/>
                <w:sz w:val="24"/>
                <w:szCs w:val="24"/>
                <w:lang w:eastAsia="en-GB"/>
              </w:rPr>
              <w:t>Achieve Carer</w:t>
            </w:r>
            <w:r w:rsidR="00E8693F">
              <w:rPr>
                <w:rFonts w:ascii="Arial" w:eastAsia="Times New Roman" w:hAnsi="Arial" w:cs="Arial"/>
                <w:color w:val="212121"/>
                <w:spacing w:val="-5"/>
                <w:sz w:val="24"/>
                <w:szCs w:val="24"/>
                <w:lang w:eastAsia="en-GB"/>
              </w:rPr>
              <w:t>s</w:t>
            </w:r>
            <w:r w:rsidRPr="006E21A3">
              <w:rPr>
                <w:rFonts w:ascii="Arial" w:eastAsia="Times New Roman" w:hAnsi="Arial" w:cs="Arial"/>
                <w:color w:val="212121"/>
                <w:spacing w:val="-5"/>
                <w:sz w:val="24"/>
                <w:szCs w:val="24"/>
                <w:lang w:eastAsia="en-GB"/>
              </w:rPr>
              <w:t xml:space="preserve"> Confident employer level 1 by March 2022 and level 2 by March 2023.</w:t>
            </w:r>
          </w:p>
        </w:tc>
        <w:tc>
          <w:tcPr>
            <w:tcW w:w="6636" w:type="dxa"/>
          </w:tcPr>
          <w:p w14:paraId="489ADA64" w14:textId="670C10B5" w:rsidR="003F596D" w:rsidRPr="006E21A3" w:rsidRDefault="003F596D" w:rsidP="008F312F">
            <w:pPr>
              <w:spacing w:line="264" w:lineRule="auto"/>
              <w:rPr>
                <w:rFonts w:ascii="Arial" w:hAnsi="Arial" w:cs="Arial"/>
                <w:color w:val="000000" w:themeColor="text1"/>
                <w:sz w:val="24"/>
                <w:szCs w:val="24"/>
              </w:rPr>
            </w:pPr>
            <w:r w:rsidRPr="312E0A5E">
              <w:rPr>
                <w:rFonts w:ascii="Arial" w:eastAsia="Times New Roman" w:hAnsi="Arial" w:cs="Arial"/>
                <w:color w:val="212121"/>
                <w:sz w:val="24"/>
                <w:szCs w:val="24"/>
                <w:lang w:eastAsia="en-GB"/>
              </w:rPr>
              <w:t>Carer Confident employer level 1 was achieved prior to March 2022</w:t>
            </w:r>
            <w:r w:rsidR="008310A8">
              <w:rPr>
                <w:rFonts w:ascii="Arial" w:eastAsia="Times New Roman" w:hAnsi="Arial" w:cs="Arial"/>
                <w:color w:val="212121"/>
                <w:sz w:val="24"/>
                <w:szCs w:val="24"/>
                <w:lang w:eastAsia="en-GB"/>
              </w:rPr>
              <w:t xml:space="preserve"> and on track for level </w:t>
            </w:r>
            <w:r w:rsidR="00AD0CD2">
              <w:rPr>
                <w:rFonts w:ascii="Arial" w:eastAsia="Times New Roman" w:hAnsi="Arial" w:cs="Arial"/>
                <w:color w:val="212121"/>
                <w:sz w:val="24"/>
                <w:szCs w:val="24"/>
                <w:lang w:eastAsia="en-GB"/>
              </w:rPr>
              <w:t>2 by March 2023</w:t>
            </w:r>
            <w:r w:rsidR="00A8741A">
              <w:rPr>
                <w:rFonts w:ascii="Arial" w:eastAsia="Times New Roman" w:hAnsi="Arial" w:cs="Arial"/>
                <w:color w:val="212121"/>
                <w:sz w:val="24"/>
                <w:szCs w:val="24"/>
                <w:lang w:eastAsia="en-GB"/>
              </w:rPr>
              <w:t xml:space="preserve">. </w:t>
            </w:r>
          </w:p>
        </w:tc>
        <w:tc>
          <w:tcPr>
            <w:tcW w:w="1574" w:type="dxa"/>
            <w:shd w:val="clear" w:color="auto" w:fill="92D050"/>
          </w:tcPr>
          <w:p w14:paraId="77B914FA" w14:textId="5604B760" w:rsidR="003F596D" w:rsidRPr="00AD0CD2" w:rsidRDefault="00AD0CD2" w:rsidP="008F312F">
            <w:pPr>
              <w:spacing w:line="264" w:lineRule="auto"/>
              <w:rPr>
                <w:rFonts w:ascii="Arial" w:eastAsia="Times New Roman" w:hAnsi="Arial" w:cs="Arial"/>
                <w:sz w:val="24"/>
                <w:szCs w:val="24"/>
                <w:lang w:eastAsia="en-GB"/>
              </w:rPr>
            </w:pPr>
            <w:r>
              <w:rPr>
                <w:rFonts w:ascii="Arial" w:eastAsia="Times New Roman" w:hAnsi="Arial" w:cs="Arial"/>
                <w:sz w:val="24"/>
                <w:szCs w:val="24"/>
                <w:lang w:eastAsia="en-GB"/>
              </w:rPr>
              <w:t>Green</w:t>
            </w:r>
          </w:p>
        </w:tc>
      </w:tr>
    </w:tbl>
    <w:p w14:paraId="5C0DCD50" w14:textId="77777777" w:rsidR="003F596D" w:rsidRPr="006E21A3" w:rsidRDefault="003F596D" w:rsidP="003F596D">
      <w:pPr>
        <w:spacing w:line="420" w:lineRule="atLeast"/>
        <w:rPr>
          <w:rFonts w:ascii="Arial" w:hAnsi="Arial" w:cs="Arial"/>
          <w:b/>
          <w:bCs/>
          <w:color w:val="000000" w:themeColor="text1"/>
          <w:sz w:val="28"/>
          <w:szCs w:val="28"/>
          <w:u w:val="single"/>
        </w:rPr>
        <w:sectPr w:rsidR="003F596D" w:rsidRPr="006E21A3" w:rsidSect="00B24666">
          <w:footerReference w:type="default" r:id="rId12"/>
          <w:pgSz w:w="16838" w:h="11906" w:orient="landscape"/>
          <w:pgMar w:top="720" w:right="720" w:bottom="720" w:left="720" w:header="708" w:footer="708" w:gutter="0"/>
          <w:cols w:space="708"/>
          <w:docGrid w:linePitch="360"/>
        </w:sectPr>
      </w:pPr>
    </w:p>
    <w:p w14:paraId="60AF1FC0" w14:textId="77777777" w:rsidR="003F596D" w:rsidRPr="006E21A3" w:rsidRDefault="003F596D" w:rsidP="003F596D">
      <w:pPr>
        <w:ind w:left="1080" w:hanging="720"/>
        <w:rPr>
          <w:rFonts w:ascii="Arial" w:hAnsi="Arial" w:cs="Arial"/>
        </w:rPr>
      </w:pPr>
    </w:p>
    <w:p w14:paraId="3C49398B" w14:textId="587972A3" w:rsidR="00DA07EB" w:rsidRPr="00C055DD" w:rsidRDefault="00CD0DE7" w:rsidP="00BF57C1">
      <w:pPr>
        <w:rPr>
          <w:rFonts w:ascii="Arial" w:hAnsi="Arial" w:cs="Arial"/>
          <w:b/>
          <w:bCs/>
          <w:sz w:val="28"/>
          <w:szCs w:val="28"/>
          <w:u w:val="single"/>
        </w:rPr>
      </w:pPr>
      <w:r w:rsidRPr="00C055DD">
        <w:rPr>
          <w:rFonts w:ascii="Arial" w:hAnsi="Arial" w:cs="Arial"/>
          <w:b/>
          <w:bCs/>
          <w:sz w:val="28"/>
          <w:szCs w:val="28"/>
          <w:u w:val="single"/>
        </w:rPr>
        <w:t xml:space="preserve">Table 3: </w:t>
      </w:r>
      <w:r w:rsidR="00CD77FC" w:rsidRPr="00C055DD">
        <w:rPr>
          <w:rFonts w:ascii="Arial" w:hAnsi="Arial" w:cs="Arial"/>
          <w:b/>
          <w:bCs/>
          <w:sz w:val="28"/>
          <w:szCs w:val="28"/>
          <w:u w:val="single"/>
        </w:rPr>
        <w:t>Caveats or limitations</w:t>
      </w:r>
      <w:r w:rsidR="001014A0" w:rsidRPr="00C055DD">
        <w:rPr>
          <w:rFonts w:ascii="Arial" w:hAnsi="Arial" w:cs="Arial"/>
          <w:b/>
          <w:bCs/>
          <w:sz w:val="28"/>
          <w:szCs w:val="28"/>
          <w:u w:val="single"/>
        </w:rPr>
        <w:t xml:space="preserve"> of data</w:t>
      </w:r>
    </w:p>
    <w:tbl>
      <w:tblPr>
        <w:tblW w:w="1573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9072"/>
        <w:gridCol w:w="3969"/>
      </w:tblGrid>
      <w:tr w:rsidR="00ED18C8" w:rsidRPr="00DE6D5C" w14:paraId="5CCC3DF1" w14:textId="77777777" w:rsidTr="00650102">
        <w:trPr>
          <w:trHeight w:val="330"/>
        </w:trPr>
        <w:tc>
          <w:tcPr>
            <w:tcW w:w="2694" w:type="dxa"/>
            <w:shd w:val="clear" w:color="auto" w:fill="auto"/>
            <w:noWrap/>
            <w:vAlign w:val="bottom"/>
            <w:hideMark/>
          </w:tcPr>
          <w:p w14:paraId="420E73B1" w14:textId="77777777" w:rsidR="00ED18C8" w:rsidRPr="00E800D6" w:rsidRDefault="00ED18C8" w:rsidP="001B7338">
            <w:pPr>
              <w:spacing w:after="0" w:line="240" w:lineRule="auto"/>
              <w:rPr>
                <w:rFonts w:ascii="Arial" w:eastAsia="Times New Roman" w:hAnsi="Arial" w:cs="Arial"/>
                <w:b/>
                <w:bCs/>
                <w:color w:val="000000"/>
                <w:sz w:val="24"/>
                <w:szCs w:val="24"/>
                <w:lang w:eastAsia="en-GB"/>
              </w:rPr>
            </w:pPr>
            <w:r w:rsidRPr="00E800D6">
              <w:rPr>
                <w:rFonts w:ascii="Arial" w:eastAsia="Times New Roman" w:hAnsi="Arial" w:cs="Arial"/>
                <w:b/>
                <w:bCs/>
                <w:color w:val="000000"/>
                <w:sz w:val="24"/>
                <w:szCs w:val="24"/>
                <w:lang w:eastAsia="en-GB"/>
              </w:rPr>
              <w:t>Evidence sources</w:t>
            </w:r>
          </w:p>
        </w:tc>
        <w:tc>
          <w:tcPr>
            <w:tcW w:w="9072" w:type="dxa"/>
          </w:tcPr>
          <w:p w14:paraId="3F791575" w14:textId="77777777" w:rsidR="00ED18C8" w:rsidRPr="00E800D6" w:rsidRDefault="00ED18C8" w:rsidP="001B7338">
            <w:pPr>
              <w:spacing w:after="0" w:line="240" w:lineRule="auto"/>
              <w:rPr>
                <w:rFonts w:ascii="Arial" w:eastAsia="Times New Roman" w:hAnsi="Arial" w:cs="Arial"/>
                <w:b/>
                <w:bCs/>
                <w:color w:val="000000"/>
                <w:sz w:val="24"/>
                <w:szCs w:val="24"/>
                <w:lang w:eastAsia="en-GB"/>
              </w:rPr>
            </w:pPr>
            <w:r w:rsidRPr="00E800D6">
              <w:rPr>
                <w:rFonts w:ascii="Arial" w:eastAsia="Times New Roman" w:hAnsi="Arial" w:cs="Arial"/>
                <w:b/>
                <w:bCs/>
                <w:color w:val="000000"/>
                <w:sz w:val="24"/>
                <w:szCs w:val="24"/>
                <w:lang w:eastAsia="en-GB"/>
              </w:rPr>
              <w:t>Overview</w:t>
            </w:r>
          </w:p>
        </w:tc>
        <w:tc>
          <w:tcPr>
            <w:tcW w:w="3969" w:type="dxa"/>
            <w:shd w:val="clear" w:color="auto" w:fill="auto"/>
            <w:noWrap/>
            <w:vAlign w:val="bottom"/>
            <w:hideMark/>
          </w:tcPr>
          <w:p w14:paraId="23390046" w14:textId="5C4222CF" w:rsidR="00ED18C8" w:rsidRPr="00E800D6" w:rsidRDefault="00ED18C8" w:rsidP="001B7338">
            <w:pPr>
              <w:spacing w:after="0" w:line="240" w:lineRule="auto"/>
              <w:rPr>
                <w:rFonts w:ascii="Arial" w:eastAsia="Times New Roman" w:hAnsi="Arial" w:cs="Arial"/>
                <w:b/>
                <w:bCs/>
                <w:color w:val="000000"/>
                <w:sz w:val="24"/>
                <w:szCs w:val="24"/>
                <w:lang w:eastAsia="en-GB"/>
              </w:rPr>
            </w:pPr>
            <w:r w:rsidRPr="00E800D6">
              <w:rPr>
                <w:rFonts w:ascii="Arial" w:eastAsia="Times New Roman" w:hAnsi="Arial" w:cs="Arial"/>
                <w:b/>
                <w:bCs/>
                <w:color w:val="000000"/>
                <w:sz w:val="24"/>
                <w:szCs w:val="24"/>
                <w:lang w:eastAsia="en-GB"/>
              </w:rPr>
              <w:t>Caveats or limitations</w:t>
            </w:r>
          </w:p>
        </w:tc>
      </w:tr>
      <w:tr w:rsidR="00ED18C8" w:rsidRPr="00DE6D5C" w14:paraId="1B05767E" w14:textId="77777777" w:rsidTr="00650102">
        <w:trPr>
          <w:trHeight w:val="285"/>
        </w:trPr>
        <w:tc>
          <w:tcPr>
            <w:tcW w:w="2694" w:type="dxa"/>
            <w:shd w:val="clear" w:color="auto" w:fill="auto"/>
            <w:noWrap/>
            <w:hideMark/>
          </w:tcPr>
          <w:p w14:paraId="1586D540" w14:textId="77777777" w:rsidR="00ED18C8" w:rsidRPr="00E800D6" w:rsidRDefault="00ED18C8" w:rsidP="00702372">
            <w:pPr>
              <w:spacing w:after="0" w:line="240" w:lineRule="auto"/>
              <w:jc w:val="center"/>
              <w:rPr>
                <w:rFonts w:ascii="Arial" w:eastAsia="Times New Roman" w:hAnsi="Arial" w:cs="Arial"/>
                <w:color w:val="000000"/>
                <w:sz w:val="24"/>
                <w:szCs w:val="24"/>
                <w:lang w:eastAsia="en-GB"/>
              </w:rPr>
            </w:pPr>
            <w:r w:rsidRPr="00E800D6">
              <w:rPr>
                <w:rFonts w:ascii="Arial" w:eastAsia="Times New Roman" w:hAnsi="Arial" w:cs="Arial"/>
                <w:color w:val="000000"/>
                <w:sz w:val="24"/>
                <w:szCs w:val="24"/>
                <w:lang w:eastAsia="en-GB"/>
              </w:rPr>
              <w:t>Annual Awareness Survey</w:t>
            </w:r>
          </w:p>
        </w:tc>
        <w:tc>
          <w:tcPr>
            <w:tcW w:w="9072" w:type="dxa"/>
          </w:tcPr>
          <w:p w14:paraId="70AFBD8E" w14:textId="77777777" w:rsidR="00ED18C8" w:rsidRPr="00E800D6" w:rsidRDefault="00ED18C8" w:rsidP="001B7338">
            <w:pPr>
              <w:spacing w:before="100" w:beforeAutospacing="1" w:after="100" w:afterAutospacing="1" w:line="240" w:lineRule="auto"/>
              <w:rPr>
                <w:rFonts w:ascii="Arial" w:eastAsia="Times New Roman" w:hAnsi="Arial" w:cs="Arial"/>
                <w:color w:val="000000"/>
                <w:sz w:val="24"/>
                <w:szCs w:val="24"/>
                <w:lang w:eastAsia="en-GB"/>
              </w:rPr>
            </w:pPr>
            <w:r w:rsidRPr="00E800D6">
              <w:rPr>
                <w:rFonts w:ascii="Arial" w:eastAsia="Times New Roman" w:hAnsi="Arial" w:cs="Arial"/>
                <w:color w:val="000000"/>
                <w:sz w:val="24"/>
                <w:szCs w:val="24"/>
                <w:lang w:eastAsia="en-GB"/>
              </w:rPr>
              <w:t>Computer Assisted Telephone Interviews which lasted approximately 15 minutes. This was conducted between December 2021 and January 2022.</w:t>
            </w:r>
          </w:p>
          <w:p w14:paraId="2107F177" w14:textId="77777777" w:rsidR="00ED18C8" w:rsidRPr="00E800D6" w:rsidRDefault="00ED18C8" w:rsidP="001B7338">
            <w:pPr>
              <w:spacing w:before="100" w:beforeAutospacing="1" w:after="100" w:afterAutospacing="1" w:line="240" w:lineRule="auto"/>
              <w:rPr>
                <w:rFonts w:ascii="Arial" w:eastAsia="Times New Roman" w:hAnsi="Arial" w:cs="Arial"/>
                <w:color w:val="000000"/>
                <w:sz w:val="24"/>
                <w:szCs w:val="24"/>
                <w:lang w:eastAsia="en-GB"/>
              </w:rPr>
            </w:pPr>
            <w:r w:rsidRPr="00E800D6">
              <w:rPr>
                <w:rFonts w:ascii="Arial" w:eastAsia="Times New Roman" w:hAnsi="Arial" w:cs="Arial"/>
                <w:color w:val="000000"/>
                <w:sz w:val="24"/>
                <w:szCs w:val="24"/>
                <w:lang w:eastAsia="en-GB"/>
              </w:rPr>
              <w:t>This was a nationally representative sample of 1000 adults in terms of English region, age, ethnicity and gender. The sample also includes at least 100 responses from CQC’s key sub-groups (carers, recent healthcare users, people with long-term health conditions, and those aged 65+) to allow for meaningful comparisons</w:t>
            </w:r>
          </w:p>
        </w:tc>
        <w:tc>
          <w:tcPr>
            <w:tcW w:w="3969" w:type="dxa"/>
            <w:shd w:val="clear" w:color="auto" w:fill="auto"/>
            <w:noWrap/>
            <w:hideMark/>
          </w:tcPr>
          <w:p w14:paraId="48C725E4" w14:textId="77777777" w:rsidR="00ED18C8" w:rsidRPr="00E800D6" w:rsidRDefault="00ED18C8" w:rsidP="00702372">
            <w:pPr>
              <w:spacing w:after="0" w:line="240" w:lineRule="auto"/>
              <w:rPr>
                <w:rFonts w:ascii="Arial" w:eastAsia="Times New Roman" w:hAnsi="Arial" w:cs="Arial"/>
                <w:color w:val="000000"/>
                <w:sz w:val="24"/>
                <w:szCs w:val="24"/>
                <w:lang w:eastAsia="en-GB"/>
              </w:rPr>
            </w:pPr>
          </w:p>
        </w:tc>
      </w:tr>
      <w:tr w:rsidR="00ED18C8" w:rsidRPr="00DE6D5C" w14:paraId="3320C17B" w14:textId="77777777" w:rsidTr="00650102">
        <w:trPr>
          <w:trHeight w:val="285"/>
        </w:trPr>
        <w:tc>
          <w:tcPr>
            <w:tcW w:w="2694" w:type="dxa"/>
            <w:shd w:val="clear" w:color="auto" w:fill="auto"/>
            <w:noWrap/>
            <w:hideMark/>
          </w:tcPr>
          <w:p w14:paraId="65753827" w14:textId="77777777" w:rsidR="00ED18C8" w:rsidRPr="00E800D6" w:rsidRDefault="00ED18C8" w:rsidP="00702372">
            <w:pPr>
              <w:spacing w:after="0" w:line="240" w:lineRule="auto"/>
              <w:jc w:val="center"/>
              <w:rPr>
                <w:rFonts w:ascii="Arial" w:eastAsia="Times New Roman" w:hAnsi="Arial" w:cs="Arial"/>
                <w:color w:val="000000"/>
                <w:sz w:val="24"/>
                <w:szCs w:val="24"/>
                <w:lang w:eastAsia="en-GB"/>
              </w:rPr>
            </w:pPr>
            <w:r w:rsidRPr="00E800D6">
              <w:rPr>
                <w:rFonts w:ascii="Arial" w:eastAsia="Times New Roman" w:hAnsi="Arial" w:cs="Arial"/>
                <w:color w:val="000000"/>
                <w:sz w:val="24"/>
                <w:szCs w:val="24"/>
                <w:lang w:eastAsia="en-GB"/>
              </w:rPr>
              <w:t>Annual Provider Survey</w:t>
            </w:r>
          </w:p>
        </w:tc>
        <w:tc>
          <w:tcPr>
            <w:tcW w:w="9072" w:type="dxa"/>
          </w:tcPr>
          <w:p w14:paraId="37D3C41D" w14:textId="54E2AB98" w:rsidR="00ED18C8" w:rsidRPr="00E800D6" w:rsidRDefault="00ED18C8" w:rsidP="001B7338">
            <w:pPr>
              <w:shd w:val="clear" w:color="auto" w:fill="FFFFFF"/>
              <w:spacing w:before="100" w:beforeAutospacing="1" w:after="100" w:afterAutospacing="1" w:line="240" w:lineRule="auto"/>
              <w:rPr>
                <w:rFonts w:ascii="Arial" w:hAnsi="Arial" w:cs="Arial"/>
                <w:sz w:val="24"/>
                <w:szCs w:val="24"/>
              </w:rPr>
            </w:pPr>
            <w:r w:rsidRPr="00E800D6">
              <w:rPr>
                <w:rFonts w:ascii="Arial" w:hAnsi="Arial" w:cs="Arial"/>
                <w:noProof/>
                <w:sz w:val="24"/>
                <w:szCs w:val="24"/>
              </w:rPr>
              <w:t xml:space="preserve">The Annual Provider Survey is sent to all providers (Registered </w:t>
            </w:r>
            <w:r w:rsidRPr="00E800D6">
              <w:rPr>
                <w:rFonts w:ascii="Arial" w:hAnsi="Arial" w:cs="Arial"/>
                <w:sz w:val="24"/>
                <w:szCs w:val="24"/>
              </w:rPr>
              <w:t>Manager or Nominated Individual for all registered locations). The survey ran from November to December 2021.Received a response rate of 36.9%</w:t>
            </w:r>
            <w:r w:rsidR="00650102" w:rsidRPr="00E800D6">
              <w:rPr>
                <w:rFonts w:ascii="Arial" w:hAnsi="Arial" w:cs="Arial"/>
                <w:sz w:val="24"/>
                <w:szCs w:val="24"/>
              </w:rPr>
              <w:t>.</w:t>
            </w:r>
          </w:p>
          <w:p w14:paraId="52175D4F" w14:textId="77777777" w:rsidR="00ED18C8" w:rsidRPr="00E800D6" w:rsidRDefault="00ED18C8" w:rsidP="001B7338">
            <w:pPr>
              <w:shd w:val="clear" w:color="auto" w:fill="FFFFFF"/>
              <w:spacing w:before="100" w:beforeAutospacing="1" w:after="100" w:afterAutospacing="1" w:line="240" w:lineRule="auto"/>
              <w:rPr>
                <w:rFonts w:ascii="Arial" w:hAnsi="Arial" w:cs="Arial"/>
                <w:sz w:val="24"/>
                <w:szCs w:val="24"/>
              </w:rPr>
            </w:pPr>
            <w:r w:rsidRPr="00E800D6">
              <w:rPr>
                <w:rFonts w:ascii="Arial" w:hAnsi="Arial" w:cs="Arial"/>
                <w:sz w:val="24"/>
                <w:szCs w:val="24"/>
              </w:rPr>
              <w:t>Results from the Annual Provider Survey have been weighted to ensure the responses are representative of the population we surveyed.</w:t>
            </w:r>
            <w:r w:rsidRPr="00E800D6">
              <w:rPr>
                <w:rFonts w:ascii="Arial" w:eastAsia="Times New Roman" w:hAnsi="Arial" w:cs="Arial"/>
                <w:color w:val="242424"/>
                <w:sz w:val="24"/>
                <w:szCs w:val="24"/>
                <w:lang w:eastAsia="en-GB"/>
              </w:rPr>
              <w:t xml:space="preserve"> </w:t>
            </w:r>
          </w:p>
        </w:tc>
        <w:tc>
          <w:tcPr>
            <w:tcW w:w="3969" w:type="dxa"/>
            <w:shd w:val="clear" w:color="auto" w:fill="auto"/>
            <w:noWrap/>
          </w:tcPr>
          <w:p w14:paraId="65637231" w14:textId="77777777" w:rsidR="00ED18C8" w:rsidRPr="00E800D6" w:rsidRDefault="00ED18C8" w:rsidP="00702372">
            <w:pPr>
              <w:spacing w:after="0" w:line="240" w:lineRule="auto"/>
              <w:rPr>
                <w:rFonts w:ascii="Arial" w:eastAsia="Times New Roman" w:hAnsi="Arial" w:cs="Arial"/>
                <w:color w:val="000000"/>
                <w:sz w:val="24"/>
                <w:szCs w:val="24"/>
                <w:lang w:eastAsia="en-GB"/>
              </w:rPr>
            </w:pPr>
            <w:r w:rsidRPr="00E800D6">
              <w:rPr>
                <w:rFonts w:ascii="Arial" w:hAnsi="Arial" w:cs="Arial"/>
                <w:sz w:val="24"/>
                <w:szCs w:val="24"/>
              </w:rPr>
              <w:t>Findings from the annual provider survey showed a high level of positivity. To help us understand what was driving the answers, and whether the results are appropriate to use as a baseline, we are exploring why providers responded the way they did.</w:t>
            </w:r>
          </w:p>
        </w:tc>
      </w:tr>
      <w:tr w:rsidR="00ED18C8" w:rsidRPr="00DE6D5C" w14:paraId="6777C7D0" w14:textId="77777777" w:rsidTr="00650102">
        <w:trPr>
          <w:trHeight w:val="285"/>
        </w:trPr>
        <w:tc>
          <w:tcPr>
            <w:tcW w:w="2694" w:type="dxa"/>
            <w:shd w:val="clear" w:color="auto" w:fill="auto"/>
            <w:noWrap/>
            <w:hideMark/>
          </w:tcPr>
          <w:p w14:paraId="0AAB52F2" w14:textId="77777777" w:rsidR="00ED18C8" w:rsidRPr="00E800D6" w:rsidRDefault="00ED18C8" w:rsidP="00702372">
            <w:pPr>
              <w:spacing w:after="0" w:line="240" w:lineRule="auto"/>
              <w:jc w:val="center"/>
              <w:rPr>
                <w:rFonts w:ascii="Arial" w:eastAsia="Times New Roman" w:hAnsi="Arial" w:cs="Arial"/>
                <w:color w:val="000000"/>
                <w:sz w:val="24"/>
                <w:szCs w:val="24"/>
                <w:lang w:eastAsia="en-GB"/>
              </w:rPr>
            </w:pPr>
            <w:r w:rsidRPr="00E800D6">
              <w:rPr>
                <w:rFonts w:ascii="Arial" w:eastAsia="Times New Roman" w:hAnsi="Arial" w:cs="Arial"/>
                <w:color w:val="000000"/>
                <w:sz w:val="24"/>
                <w:szCs w:val="24"/>
                <w:lang w:eastAsia="en-GB"/>
              </w:rPr>
              <w:t>Annual Stakeholder Survey</w:t>
            </w:r>
          </w:p>
        </w:tc>
        <w:tc>
          <w:tcPr>
            <w:tcW w:w="9072" w:type="dxa"/>
          </w:tcPr>
          <w:p w14:paraId="6999B76C" w14:textId="77777777" w:rsidR="00ED18C8" w:rsidRPr="00E800D6" w:rsidRDefault="00ED18C8" w:rsidP="001B7338">
            <w:pPr>
              <w:rPr>
                <w:rFonts w:ascii="Arial" w:hAnsi="Arial" w:cs="Arial"/>
                <w:noProof/>
                <w:sz w:val="24"/>
                <w:szCs w:val="24"/>
              </w:rPr>
            </w:pPr>
            <w:r w:rsidRPr="00E800D6">
              <w:rPr>
                <w:rFonts w:ascii="Arial" w:hAnsi="Arial" w:cs="Arial"/>
                <w:noProof/>
                <w:sz w:val="24"/>
                <w:szCs w:val="24"/>
              </w:rPr>
              <w:t xml:space="preserve">The Annual Stakeholder survey was sent to 980 organisations whom CQC has worked with over the past year. This was made up of; </w:t>
            </w:r>
          </w:p>
          <w:p w14:paraId="491E9C33" w14:textId="77777777" w:rsidR="00ED18C8" w:rsidRPr="00E800D6" w:rsidRDefault="00ED18C8" w:rsidP="00245060">
            <w:pPr>
              <w:pStyle w:val="ListParagraph"/>
              <w:numPr>
                <w:ilvl w:val="0"/>
                <w:numId w:val="10"/>
              </w:numPr>
              <w:rPr>
                <w:rFonts w:ascii="Arial" w:hAnsi="Arial" w:cs="Arial"/>
                <w:noProof/>
                <w:sz w:val="24"/>
                <w:szCs w:val="24"/>
              </w:rPr>
            </w:pPr>
            <w:r w:rsidRPr="00E800D6">
              <w:rPr>
                <w:rFonts w:ascii="Arial" w:hAnsi="Arial" w:cs="Arial"/>
                <w:caps/>
                <w:noProof/>
                <w:sz w:val="24"/>
                <w:szCs w:val="24"/>
              </w:rPr>
              <w:t>A</w:t>
            </w:r>
            <w:r w:rsidRPr="00E800D6">
              <w:rPr>
                <w:rFonts w:ascii="Arial" w:hAnsi="Arial" w:cs="Arial"/>
                <w:noProof/>
                <w:sz w:val="24"/>
                <w:szCs w:val="24"/>
              </w:rPr>
              <w:t>rms length bodies</w:t>
            </w:r>
          </w:p>
          <w:p w14:paraId="365B34EF" w14:textId="77777777" w:rsidR="00ED18C8" w:rsidRPr="00E800D6" w:rsidRDefault="00ED18C8" w:rsidP="00245060">
            <w:pPr>
              <w:pStyle w:val="ListParagraph"/>
              <w:numPr>
                <w:ilvl w:val="0"/>
                <w:numId w:val="10"/>
              </w:numPr>
              <w:rPr>
                <w:rFonts w:ascii="Arial" w:hAnsi="Arial" w:cs="Arial"/>
                <w:noProof/>
                <w:sz w:val="24"/>
                <w:szCs w:val="24"/>
              </w:rPr>
            </w:pPr>
            <w:r w:rsidRPr="00E800D6">
              <w:rPr>
                <w:rFonts w:ascii="Arial" w:hAnsi="Arial" w:cs="Arial"/>
                <w:noProof/>
                <w:sz w:val="24"/>
                <w:szCs w:val="24"/>
              </w:rPr>
              <w:t>Commissioners of health and care</w:t>
            </w:r>
          </w:p>
          <w:p w14:paraId="640A7795" w14:textId="77777777" w:rsidR="00ED18C8" w:rsidRPr="00E800D6" w:rsidRDefault="00ED18C8" w:rsidP="00245060">
            <w:pPr>
              <w:pStyle w:val="ListParagraph"/>
              <w:numPr>
                <w:ilvl w:val="0"/>
                <w:numId w:val="10"/>
              </w:numPr>
              <w:rPr>
                <w:rFonts w:ascii="Arial" w:hAnsi="Arial" w:cs="Arial"/>
                <w:noProof/>
                <w:sz w:val="24"/>
                <w:szCs w:val="24"/>
              </w:rPr>
            </w:pPr>
            <w:r w:rsidRPr="00E800D6">
              <w:rPr>
                <w:rFonts w:ascii="Arial" w:hAnsi="Arial" w:cs="Arial"/>
                <w:noProof/>
                <w:sz w:val="24"/>
                <w:szCs w:val="24"/>
              </w:rPr>
              <w:t>Other regulatory bodies</w:t>
            </w:r>
          </w:p>
          <w:p w14:paraId="009A8944" w14:textId="77777777" w:rsidR="00ED18C8" w:rsidRPr="00E800D6" w:rsidRDefault="00ED18C8" w:rsidP="00245060">
            <w:pPr>
              <w:pStyle w:val="ListParagraph"/>
              <w:numPr>
                <w:ilvl w:val="0"/>
                <w:numId w:val="10"/>
              </w:numPr>
              <w:rPr>
                <w:rFonts w:ascii="Arial" w:hAnsi="Arial" w:cs="Arial"/>
                <w:noProof/>
                <w:sz w:val="24"/>
                <w:szCs w:val="24"/>
              </w:rPr>
            </w:pPr>
            <w:r w:rsidRPr="00E800D6">
              <w:rPr>
                <w:rFonts w:ascii="Arial" w:hAnsi="Arial" w:cs="Arial"/>
                <w:noProof/>
                <w:sz w:val="24"/>
                <w:szCs w:val="24"/>
              </w:rPr>
              <w:t>Integrated Care System leads</w:t>
            </w:r>
          </w:p>
          <w:p w14:paraId="4390AC07" w14:textId="77777777" w:rsidR="00ED18C8" w:rsidRPr="00E800D6" w:rsidRDefault="00ED18C8" w:rsidP="00245060">
            <w:pPr>
              <w:pStyle w:val="ListParagraph"/>
              <w:numPr>
                <w:ilvl w:val="0"/>
                <w:numId w:val="10"/>
              </w:numPr>
              <w:rPr>
                <w:rFonts w:ascii="Arial" w:hAnsi="Arial" w:cs="Arial"/>
                <w:noProof/>
                <w:sz w:val="24"/>
                <w:szCs w:val="24"/>
              </w:rPr>
            </w:pPr>
            <w:r w:rsidRPr="00E800D6">
              <w:rPr>
                <w:rFonts w:ascii="Arial" w:hAnsi="Arial" w:cs="Arial"/>
                <w:noProof/>
                <w:sz w:val="24"/>
                <w:szCs w:val="24"/>
              </w:rPr>
              <w:t>Other commissioning groups</w:t>
            </w:r>
          </w:p>
          <w:p w14:paraId="20245679" w14:textId="77777777" w:rsidR="00ED18C8" w:rsidRPr="00E800D6" w:rsidRDefault="00ED18C8" w:rsidP="00245060">
            <w:pPr>
              <w:pStyle w:val="ListParagraph"/>
              <w:numPr>
                <w:ilvl w:val="0"/>
                <w:numId w:val="10"/>
              </w:numPr>
              <w:rPr>
                <w:rFonts w:ascii="Arial" w:hAnsi="Arial" w:cs="Arial"/>
                <w:noProof/>
                <w:sz w:val="24"/>
                <w:szCs w:val="24"/>
              </w:rPr>
            </w:pPr>
            <w:r w:rsidRPr="00E800D6">
              <w:rPr>
                <w:rFonts w:ascii="Arial" w:hAnsi="Arial" w:cs="Arial"/>
                <w:noProof/>
                <w:sz w:val="24"/>
                <w:szCs w:val="24"/>
              </w:rPr>
              <w:t>Other public representatives</w:t>
            </w:r>
          </w:p>
          <w:p w14:paraId="2D161B4D" w14:textId="77777777" w:rsidR="00ED18C8" w:rsidRPr="00E800D6" w:rsidRDefault="00ED18C8" w:rsidP="00245060">
            <w:pPr>
              <w:pStyle w:val="ListParagraph"/>
              <w:numPr>
                <w:ilvl w:val="0"/>
                <w:numId w:val="10"/>
              </w:numPr>
              <w:rPr>
                <w:rFonts w:ascii="Arial" w:hAnsi="Arial" w:cs="Arial"/>
                <w:noProof/>
                <w:sz w:val="24"/>
                <w:szCs w:val="24"/>
              </w:rPr>
            </w:pPr>
            <w:r w:rsidRPr="00E800D6">
              <w:rPr>
                <w:rFonts w:ascii="Arial" w:hAnsi="Arial" w:cs="Arial"/>
                <w:noProof/>
                <w:sz w:val="24"/>
                <w:szCs w:val="24"/>
              </w:rPr>
              <w:t>Professional Associations</w:t>
            </w:r>
          </w:p>
          <w:p w14:paraId="44222D6B" w14:textId="77777777" w:rsidR="00ED18C8" w:rsidRPr="00E800D6" w:rsidRDefault="00ED18C8" w:rsidP="00245060">
            <w:pPr>
              <w:pStyle w:val="ListParagraph"/>
              <w:numPr>
                <w:ilvl w:val="0"/>
                <w:numId w:val="10"/>
              </w:numPr>
              <w:rPr>
                <w:rFonts w:ascii="Arial" w:hAnsi="Arial" w:cs="Arial"/>
                <w:noProof/>
                <w:sz w:val="24"/>
                <w:szCs w:val="24"/>
              </w:rPr>
            </w:pPr>
            <w:r w:rsidRPr="00E800D6">
              <w:rPr>
                <w:rFonts w:ascii="Arial" w:hAnsi="Arial" w:cs="Arial"/>
                <w:noProof/>
                <w:sz w:val="24"/>
                <w:szCs w:val="24"/>
              </w:rPr>
              <w:t>Statutory public representatives.</w:t>
            </w:r>
          </w:p>
          <w:p w14:paraId="6E35308B" w14:textId="77777777" w:rsidR="00ED18C8" w:rsidRPr="00E800D6" w:rsidRDefault="00ED18C8" w:rsidP="001B7338">
            <w:pPr>
              <w:rPr>
                <w:rFonts w:ascii="Arial" w:hAnsi="Arial" w:cs="Arial"/>
                <w:noProof/>
                <w:sz w:val="24"/>
                <w:szCs w:val="24"/>
              </w:rPr>
            </w:pPr>
            <w:r w:rsidRPr="00E800D6">
              <w:rPr>
                <w:rFonts w:ascii="Arial" w:hAnsi="Arial" w:cs="Arial"/>
                <w:noProof/>
                <w:sz w:val="24"/>
                <w:szCs w:val="24"/>
              </w:rPr>
              <w:lastRenderedPageBreak/>
              <w:t>There survey ran from December 2021 to February 2022 (extend a month due to Covid).</w:t>
            </w:r>
          </w:p>
          <w:p w14:paraId="09943A10" w14:textId="77777777" w:rsidR="00ED18C8" w:rsidRPr="00E800D6" w:rsidRDefault="00ED18C8" w:rsidP="001B7338">
            <w:pPr>
              <w:rPr>
                <w:rFonts w:ascii="Arial" w:hAnsi="Arial" w:cs="Arial"/>
                <w:noProof/>
                <w:sz w:val="24"/>
                <w:szCs w:val="24"/>
              </w:rPr>
            </w:pPr>
            <w:r w:rsidRPr="00E800D6">
              <w:rPr>
                <w:rFonts w:ascii="Arial" w:hAnsi="Arial" w:cs="Arial"/>
                <w:noProof/>
                <w:sz w:val="24"/>
                <w:szCs w:val="24"/>
              </w:rPr>
              <w:t>There was a 23% (227/980) response rate</w:t>
            </w:r>
          </w:p>
        </w:tc>
        <w:tc>
          <w:tcPr>
            <w:tcW w:w="3969" w:type="dxa"/>
            <w:shd w:val="clear" w:color="auto" w:fill="auto"/>
            <w:noWrap/>
          </w:tcPr>
          <w:p w14:paraId="16842B24" w14:textId="77777777" w:rsidR="00ED18C8" w:rsidRPr="00E800D6" w:rsidRDefault="00ED18C8" w:rsidP="00702372">
            <w:pPr>
              <w:spacing w:after="0" w:line="240" w:lineRule="auto"/>
              <w:rPr>
                <w:rFonts w:ascii="Arial" w:eastAsia="Times New Roman" w:hAnsi="Arial" w:cs="Arial"/>
                <w:color w:val="000000"/>
                <w:sz w:val="24"/>
                <w:szCs w:val="24"/>
                <w:lang w:eastAsia="en-GB"/>
              </w:rPr>
            </w:pPr>
            <w:r w:rsidRPr="00E800D6">
              <w:rPr>
                <w:rFonts w:ascii="Arial" w:eastAsia="Times New Roman" w:hAnsi="Arial" w:cs="Arial"/>
                <w:color w:val="000000"/>
                <w:sz w:val="24"/>
                <w:szCs w:val="24"/>
                <w:lang w:eastAsia="en-GB"/>
              </w:rPr>
              <w:lastRenderedPageBreak/>
              <w:t xml:space="preserve">Low response rates overall and per stakeholder group. Due to low response rates, we were unable to weight the results. Unweighted results are reported which means that the survey results are not representative of the population surveyed and are therefore findings of the groups that responded. </w:t>
            </w:r>
          </w:p>
        </w:tc>
      </w:tr>
      <w:tr w:rsidR="00ED18C8" w:rsidRPr="00DE6D5C" w14:paraId="6B079A70" w14:textId="77777777" w:rsidTr="00650102">
        <w:trPr>
          <w:trHeight w:val="285"/>
        </w:trPr>
        <w:tc>
          <w:tcPr>
            <w:tcW w:w="2694" w:type="dxa"/>
            <w:shd w:val="clear" w:color="auto" w:fill="auto"/>
            <w:noWrap/>
            <w:hideMark/>
          </w:tcPr>
          <w:p w14:paraId="79395831" w14:textId="1B1C7829" w:rsidR="00ED18C8" w:rsidRPr="00E800D6" w:rsidRDefault="00ED18C8" w:rsidP="00702372">
            <w:pPr>
              <w:spacing w:after="0" w:line="240" w:lineRule="auto"/>
              <w:jc w:val="center"/>
              <w:rPr>
                <w:rFonts w:ascii="Arial" w:eastAsia="Times New Roman" w:hAnsi="Arial" w:cs="Arial"/>
                <w:color w:val="000000"/>
                <w:sz w:val="24"/>
                <w:szCs w:val="24"/>
                <w:lang w:eastAsia="en-GB"/>
              </w:rPr>
            </w:pPr>
            <w:r w:rsidRPr="00E800D6">
              <w:rPr>
                <w:rFonts w:ascii="Arial" w:eastAsia="Times New Roman" w:hAnsi="Arial" w:cs="Arial"/>
                <w:color w:val="000000"/>
                <w:sz w:val="24"/>
                <w:szCs w:val="24"/>
                <w:lang w:eastAsia="en-GB"/>
              </w:rPr>
              <w:t>CRM</w:t>
            </w:r>
            <w:r w:rsidR="007E4C29" w:rsidRPr="00E800D6">
              <w:rPr>
                <w:rFonts w:ascii="Arial" w:eastAsia="Times New Roman" w:hAnsi="Arial" w:cs="Arial"/>
                <w:color w:val="000000"/>
                <w:sz w:val="24"/>
                <w:szCs w:val="24"/>
                <w:lang w:eastAsia="en-GB"/>
              </w:rPr>
              <w:t xml:space="preserve"> data</w:t>
            </w:r>
          </w:p>
        </w:tc>
        <w:tc>
          <w:tcPr>
            <w:tcW w:w="9072" w:type="dxa"/>
          </w:tcPr>
          <w:p w14:paraId="27F943A4" w14:textId="77777777" w:rsidR="00ED18C8" w:rsidRPr="00E800D6" w:rsidRDefault="00ED18C8" w:rsidP="001B7338">
            <w:pPr>
              <w:spacing w:after="0" w:line="240" w:lineRule="auto"/>
              <w:rPr>
                <w:rFonts w:ascii="Arial" w:eastAsia="Times New Roman" w:hAnsi="Arial" w:cs="Arial"/>
                <w:color w:val="000000"/>
                <w:sz w:val="24"/>
                <w:szCs w:val="24"/>
                <w:lang w:eastAsia="en-GB"/>
              </w:rPr>
            </w:pPr>
            <w:r w:rsidRPr="00E800D6">
              <w:rPr>
                <w:rFonts w:ascii="Arial" w:eastAsia="Times New Roman" w:hAnsi="Arial" w:cs="Arial"/>
                <w:color w:val="000000"/>
                <w:sz w:val="24"/>
                <w:szCs w:val="24"/>
                <w:lang w:eastAsia="en-GB"/>
              </w:rPr>
              <w:t>System data on our performance</w:t>
            </w:r>
          </w:p>
        </w:tc>
        <w:tc>
          <w:tcPr>
            <w:tcW w:w="3969" w:type="dxa"/>
            <w:shd w:val="clear" w:color="auto" w:fill="auto"/>
            <w:noWrap/>
            <w:vAlign w:val="bottom"/>
          </w:tcPr>
          <w:p w14:paraId="20A4BD87" w14:textId="77777777" w:rsidR="00ED18C8" w:rsidRPr="00E800D6" w:rsidRDefault="00ED18C8" w:rsidP="001B7338">
            <w:pPr>
              <w:spacing w:after="0" w:line="240" w:lineRule="auto"/>
              <w:rPr>
                <w:rFonts w:ascii="Arial" w:eastAsia="Times New Roman" w:hAnsi="Arial" w:cs="Arial"/>
                <w:color w:val="000000"/>
                <w:sz w:val="24"/>
                <w:szCs w:val="24"/>
                <w:lang w:eastAsia="en-GB"/>
              </w:rPr>
            </w:pPr>
          </w:p>
        </w:tc>
      </w:tr>
      <w:tr w:rsidR="00ED18C8" w:rsidRPr="00DE6D5C" w14:paraId="53B354F4" w14:textId="77777777" w:rsidTr="00650102">
        <w:trPr>
          <w:trHeight w:val="285"/>
        </w:trPr>
        <w:tc>
          <w:tcPr>
            <w:tcW w:w="2694" w:type="dxa"/>
            <w:shd w:val="clear" w:color="auto" w:fill="auto"/>
            <w:noWrap/>
            <w:hideMark/>
          </w:tcPr>
          <w:p w14:paraId="6D3CF7A2" w14:textId="77777777" w:rsidR="00ED18C8" w:rsidRPr="00E800D6" w:rsidRDefault="00ED18C8" w:rsidP="00702372">
            <w:pPr>
              <w:spacing w:after="0" w:line="240" w:lineRule="auto"/>
              <w:jc w:val="center"/>
              <w:rPr>
                <w:rFonts w:ascii="Arial" w:eastAsia="Times New Roman" w:hAnsi="Arial" w:cs="Arial"/>
                <w:color w:val="000000"/>
                <w:sz w:val="24"/>
                <w:szCs w:val="24"/>
                <w:lang w:eastAsia="en-GB"/>
              </w:rPr>
            </w:pPr>
            <w:r w:rsidRPr="00E800D6">
              <w:rPr>
                <w:rFonts w:ascii="Arial" w:eastAsia="Times New Roman" w:hAnsi="Arial" w:cs="Arial"/>
                <w:color w:val="000000"/>
                <w:sz w:val="24"/>
                <w:szCs w:val="24"/>
                <w:lang w:eastAsia="en-GB"/>
              </w:rPr>
              <w:t>Internal monitoring-</w:t>
            </w:r>
            <w:r w:rsidRPr="00E800D6">
              <w:rPr>
                <w:rFonts w:ascii="Arial" w:hAnsi="Arial" w:cs="Arial"/>
                <w:sz w:val="24"/>
                <w:szCs w:val="24"/>
              </w:rPr>
              <w:t xml:space="preserve"> Public engagement log 2021/2022</w:t>
            </w:r>
          </w:p>
        </w:tc>
        <w:tc>
          <w:tcPr>
            <w:tcW w:w="9072" w:type="dxa"/>
          </w:tcPr>
          <w:p w14:paraId="56F4F47E" w14:textId="77777777" w:rsidR="00ED18C8" w:rsidRPr="00E800D6" w:rsidRDefault="00ED18C8" w:rsidP="001B7338">
            <w:pPr>
              <w:spacing w:after="0" w:line="240" w:lineRule="auto"/>
              <w:rPr>
                <w:rFonts w:ascii="Arial" w:eastAsia="Times New Roman" w:hAnsi="Arial" w:cs="Arial"/>
                <w:color w:val="000000"/>
                <w:sz w:val="24"/>
                <w:szCs w:val="24"/>
                <w:lang w:eastAsia="en-GB"/>
              </w:rPr>
            </w:pPr>
            <w:r w:rsidRPr="00E800D6">
              <w:rPr>
                <w:rFonts w:ascii="Arial" w:eastAsia="Times New Roman" w:hAnsi="Arial" w:cs="Arial"/>
                <w:color w:val="000000"/>
                <w:sz w:val="24"/>
                <w:szCs w:val="24"/>
                <w:lang w:eastAsia="en-GB"/>
              </w:rPr>
              <w:t>Log of insight / co-production undertaken by the Public Engagement Team between 1</w:t>
            </w:r>
            <w:r w:rsidRPr="00E800D6">
              <w:rPr>
                <w:rFonts w:ascii="Arial" w:eastAsia="Times New Roman" w:hAnsi="Arial" w:cs="Arial"/>
                <w:color w:val="000000"/>
                <w:sz w:val="24"/>
                <w:szCs w:val="24"/>
                <w:vertAlign w:val="superscript"/>
                <w:lang w:eastAsia="en-GB"/>
              </w:rPr>
              <w:t>st</w:t>
            </w:r>
            <w:r w:rsidRPr="00E800D6">
              <w:rPr>
                <w:rFonts w:ascii="Arial" w:eastAsia="Times New Roman" w:hAnsi="Arial" w:cs="Arial"/>
                <w:color w:val="000000"/>
                <w:sz w:val="24"/>
                <w:szCs w:val="24"/>
                <w:lang w:eastAsia="en-GB"/>
              </w:rPr>
              <w:t xml:space="preserve"> April 2021 till 31</w:t>
            </w:r>
            <w:r w:rsidRPr="00E800D6">
              <w:rPr>
                <w:rFonts w:ascii="Arial" w:eastAsia="Times New Roman" w:hAnsi="Arial" w:cs="Arial"/>
                <w:color w:val="000000"/>
                <w:sz w:val="24"/>
                <w:szCs w:val="24"/>
                <w:vertAlign w:val="superscript"/>
                <w:lang w:eastAsia="en-GB"/>
              </w:rPr>
              <w:t>st</w:t>
            </w:r>
            <w:r w:rsidRPr="00E800D6">
              <w:rPr>
                <w:rFonts w:ascii="Arial" w:eastAsia="Times New Roman" w:hAnsi="Arial" w:cs="Arial"/>
                <w:color w:val="000000"/>
                <w:sz w:val="24"/>
                <w:szCs w:val="24"/>
                <w:lang w:eastAsia="en-GB"/>
              </w:rPr>
              <w:t xml:space="preserve"> March 2022</w:t>
            </w:r>
          </w:p>
        </w:tc>
        <w:tc>
          <w:tcPr>
            <w:tcW w:w="3969" w:type="dxa"/>
            <w:shd w:val="clear" w:color="auto" w:fill="auto"/>
            <w:noWrap/>
            <w:vAlign w:val="bottom"/>
            <w:hideMark/>
          </w:tcPr>
          <w:p w14:paraId="0E545C52" w14:textId="77777777" w:rsidR="00ED18C8" w:rsidRPr="00E800D6" w:rsidRDefault="00ED18C8" w:rsidP="001B7338">
            <w:pPr>
              <w:rPr>
                <w:rFonts w:ascii="Arial" w:eastAsia="Times New Roman" w:hAnsi="Arial" w:cs="Arial"/>
                <w:sz w:val="24"/>
                <w:szCs w:val="24"/>
              </w:rPr>
            </w:pPr>
            <w:r w:rsidRPr="00E800D6">
              <w:rPr>
                <w:rFonts w:ascii="Arial" w:hAnsi="Arial" w:cs="Arial"/>
                <w:sz w:val="24"/>
                <w:szCs w:val="24"/>
              </w:rPr>
              <w:t>I</w:t>
            </w:r>
            <w:r w:rsidRPr="00E800D6">
              <w:rPr>
                <w:rFonts w:ascii="Arial" w:eastAsia="Times New Roman" w:hAnsi="Arial" w:cs="Arial"/>
                <w:sz w:val="24"/>
                <w:szCs w:val="24"/>
              </w:rPr>
              <w:t xml:space="preserve">dentifying </w:t>
            </w:r>
            <w:r w:rsidRPr="00E800D6">
              <w:rPr>
                <w:rFonts w:ascii="Arial" w:hAnsi="Arial" w:cs="Arial"/>
                <w:sz w:val="24"/>
                <w:szCs w:val="24"/>
              </w:rPr>
              <w:t xml:space="preserve">whether co-production/insight that </w:t>
            </w:r>
            <w:r w:rsidRPr="00E800D6">
              <w:rPr>
                <w:rFonts w:ascii="Arial" w:eastAsia="Times New Roman" w:hAnsi="Arial" w:cs="Arial"/>
                <w:sz w:val="24"/>
                <w:szCs w:val="24"/>
              </w:rPr>
              <w:t>has informed CQC’s definition of quality</w:t>
            </w:r>
            <w:r w:rsidRPr="00E800D6">
              <w:rPr>
                <w:rFonts w:ascii="Arial" w:hAnsi="Arial" w:cs="Arial"/>
                <w:sz w:val="24"/>
                <w:szCs w:val="24"/>
              </w:rPr>
              <w:t xml:space="preserve"> was undertaken retrospectively therefore there could be some errors.</w:t>
            </w:r>
          </w:p>
          <w:p w14:paraId="55666165" w14:textId="77777777" w:rsidR="00ED18C8" w:rsidRPr="00E800D6" w:rsidRDefault="00ED18C8" w:rsidP="001B7338">
            <w:pPr>
              <w:rPr>
                <w:rFonts w:ascii="Arial" w:hAnsi="Arial" w:cs="Arial"/>
                <w:color w:val="000000"/>
                <w:sz w:val="24"/>
                <w:szCs w:val="24"/>
                <w:lang w:eastAsia="en-GB"/>
              </w:rPr>
            </w:pPr>
            <w:r w:rsidRPr="00E800D6">
              <w:rPr>
                <w:rFonts w:ascii="Arial" w:hAnsi="Arial" w:cs="Arial"/>
                <w:sz w:val="24"/>
                <w:szCs w:val="24"/>
              </w:rPr>
              <w:t xml:space="preserve">The log reflects work </w:t>
            </w:r>
            <w:r w:rsidRPr="00E800D6">
              <w:rPr>
                <w:rFonts w:ascii="Arial" w:hAnsi="Arial" w:cs="Arial"/>
                <w:color w:val="000000"/>
                <w:sz w:val="24"/>
                <w:szCs w:val="24"/>
                <w:lang w:eastAsia="en-GB"/>
              </w:rPr>
              <w:t>the Public Engagement Team</w:t>
            </w:r>
            <w:r w:rsidRPr="00E800D6">
              <w:rPr>
                <w:rFonts w:ascii="Arial" w:hAnsi="Arial" w:cs="Arial"/>
                <w:sz w:val="24"/>
                <w:szCs w:val="24"/>
              </w:rPr>
              <w:t xml:space="preserve"> have conducted. This log does not capture coproduction activity that the team is not made aware of. </w:t>
            </w:r>
          </w:p>
        </w:tc>
      </w:tr>
    </w:tbl>
    <w:p w14:paraId="1A475CFC" w14:textId="04390E6F" w:rsidR="00650102" w:rsidRDefault="00650102">
      <w:pPr>
        <w:rPr>
          <w:rFonts w:ascii="Arial" w:hAnsi="Arial" w:cs="Arial"/>
          <w:sz w:val="24"/>
          <w:szCs w:val="24"/>
        </w:rPr>
      </w:pPr>
    </w:p>
    <w:p w14:paraId="1BEB5D44" w14:textId="77777777" w:rsidR="00650102" w:rsidRDefault="00650102">
      <w:pPr>
        <w:rPr>
          <w:rFonts w:ascii="Arial" w:hAnsi="Arial" w:cs="Arial"/>
          <w:sz w:val="24"/>
          <w:szCs w:val="24"/>
        </w:rPr>
      </w:pPr>
      <w:r>
        <w:rPr>
          <w:rFonts w:ascii="Arial" w:hAnsi="Arial" w:cs="Arial"/>
          <w:sz w:val="24"/>
          <w:szCs w:val="24"/>
        </w:rPr>
        <w:br w:type="page"/>
      </w:r>
    </w:p>
    <w:p w14:paraId="517EB02A" w14:textId="7570A591" w:rsidR="006E21A3" w:rsidRPr="00194289" w:rsidRDefault="00194289">
      <w:pPr>
        <w:rPr>
          <w:rFonts w:ascii="Arial" w:hAnsi="Arial" w:cs="Arial"/>
          <w:b/>
          <w:bCs/>
          <w:sz w:val="24"/>
          <w:szCs w:val="24"/>
        </w:rPr>
      </w:pPr>
      <w:r>
        <w:rPr>
          <w:rFonts w:ascii="Arial" w:hAnsi="Arial" w:cs="Arial"/>
          <w:b/>
          <w:bCs/>
          <w:sz w:val="24"/>
          <w:szCs w:val="24"/>
        </w:rPr>
        <w:lastRenderedPageBreak/>
        <w:t>References in tables</w:t>
      </w:r>
    </w:p>
    <w:sectPr w:rsidR="006E21A3" w:rsidRPr="00194289" w:rsidSect="00482E0F">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4B554" w14:textId="77777777" w:rsidR="00766C6F" w:rsidRDefault="00766C6F" w:rsidP="006F1FF3">
      <w:pPr>
        <w:spacing w:after="0" w:line="240" w:lineRule="auto"/>
      </w:pPr>
      <w:r>
        <w:separator/>
      </w:r>
    </w:p>
  </w:endnote>
  <w:endnote w:type="continuationSeparator" w:id="0">
    <w:p w14:paraId="157D0DE4" w14:textId="77777777" w:rsidR="00766C6F" w:rsidRDefault="00766C6F" w:rsidP="006F1FF3">
      <w:pPr>
        <w:spacing w:after="0" w:line="240" w:lineRule="auto"/>
      </w:pPr>
      <w:r>
        <w:continuationSeparator/>
      </w:r>
    </w:p>
  </w:endnote>
  <w:endnote w:type="continuationNotice" w:id="1">
    <w:p w14:paraId="5559D751" w14:textId="77777777" w:rsidR="00766C6F" w:rsidRDefault="00766C6F">
      <w:pPr>
        <w:spacing w:after="0" w:line="240" w:lineRule="auto"/>
      </w:pPr>
    </w:p>
  </w:endnote>
  <w:endnote w:id="2">
    <w:p w14:paraId="5E8CCFEF" w14:textId="48B3489C" w:rsidR="009A4753" w:rsidRPr="00194289" w:rsidRDefault="009A4753" w:rsidP="00194289">
      <w:pPr>
        <w:pStyle w:val="EndnoteText"/>
        <w:spacing w:after="120"/>
        <w:rPr>
          <w:rFonts w:ascii="Arial" w:hAnsi="Arial" w:cs="Arial"/>
          <w:sz w:val="24"/>
          <w:szCs w:val="24"/>
          <w:lang w:val="en-US"/>
        </w:rPr>
      </w:pPr>
      <w:r w:rsidRPr="00821E83">
        <w:rPr>
          <w:rStyle w:val="EndnoteReference"/>
          <w:rFonts w:ascii="Arial" w:hAnsi="Arial" w:cs="Arial"/>
          <w:sz w:val="22"/>
          <w:szCs w:val="22"/>
        </w:rPr>
        <w:endnoteRef/>
      </w:r>
      <w:r w:rsidRPr="00821E83">
        <w:rPr>
          <w:rFonts w:ascii="Arial" w:hAnsi="Arial" w:cs="Arial"/>
          <w:sz w:val="22"/>
          <w:szCs w:val="22"/>
        </w:rPr>
        <w:t xml:space="preserve"> </w:t>
      </w:r>
      <w:r w:rsidR="007E4C29" w:rsidRPr="00194289">
        <w:rPr>
          <w:rFonts w:ascii="Arial" w:hAnsi="Arial" w:cs="Arial"/>
          <w:sz w:val="24"/>
          <w:szCs w:val="24"/>
          <w:lang w:val="en-US"/>
        </w:rPr>
        <w:t>CRM data</w:t>
      </w:r>
    </w:p>
  </w:endnote>
  <w:endnote w:id="3">
    <w:p w14:paraId="64152683" w14:textId="2201E3FD" w:rsidR="00A16461" w:rsidRPr="00194289" w:rsidRDefault="007E4C29" w:rsidP="00194289">
      <w:pPr>
        <w:pStyle w:val="EndnoteText"/>
        <w:spacing w:after="120"/>
        <w:rPr>
          <w:rFonts w:ascii="Arial" w:hAnsi="Arial" w:cs="Arial"/>
          <w:sz w:val="24"/>
          <w:szCs w:val="24"/>
          <w:lang w:val="en-US"/>
        </w:rPr>
      </w:pPr>
      <w:r w:rsidRPr="00194289">
        <w:rPr>
          <w:rStyle w:val="EndnoteReference"/>
          <w:rFonts w:ascii="Arial" w:hAnsi="Arial" w:cs="Arial"/>
          <w:sz w:val="24"/>
          <w:szCs w:val="24"/>
        </w:rPr>
        <w:endnoteRef/>
      </w:r>
      <w:r w:rsidRPr="00194289">
        <w:rPr>
          <w:rFonts w:ascii="Arial" w:hAnsi="Arial" w:cs="Arial"/>
          <w:sz w:val="24"/>
          <w:szCs w:val="24"/>
        </w:rPr>
        <w:t xml:space="preserve"> </w:t>
      </w:r>
      <w:r w:rsidRPr="00194289">
        <w:rPr>
          <w:rFonts w:ascii="Arial" w:hAnsi="Arial" w:cs="Arial"/>
          <w:sz w:val="24"/>
          <w:szCs w:val="24"/>
          <w:lang w:val="en-US"/>
        </w:rPr>
        <w:t xml:space="preserve">Public engagement </w:t>
      </w:r>
      <w:r w:rsidR="00A16461" w:rsidRPr="00194289">
        <w:rPr>
          <w:rFonts w:ascii="Arial" w:hAnsi="Arial" w:cs="Arial"/>
          <w:sz w:val="24"/>
          <w:szCs w:val="24"/>
          <w:lang w:val="en-US"/>
        </w:rPr>
        <w:t>insight log 2021-2022</w:t>
      </w:r>
    </w:p>
  </w:endnote>
  <w:endnote w:id="4">
    <w:p w14:paraId="04DE44A6" w14:textId="38018D13" w:rsidR="00821E83" w:rsidRPr="00194289" w:rsidRDefault="00A2459B" w:rsidP="00194289">
      <w:pPr>
        <w:pStyle w:val="EndnoteText"/>
        <w:spacing w:after="120"/>
        <w:rPr>
          <w:rFonts w:ascii="Arial" w:hAnsi="Arial" w:cs="Arial"/>
          <w:sz w:val="24"/>
          <w:szCs w:val="24"/>
          <w:lang w:val="en-US"/>
        </w:rPr>
      </w:pPr>
      <w:r w:rsidRPr="00194289">
        <w:rPr>
          <w:rStyle w:val="EndnoteReference"/>
          <w:rFonts w:ascii="Arial" w:hAnsi="Arial" w:cs="Arial"/>
          <w:sz w:val="24"/>
          <w:szCs w:val="24"/>
        </w:rPr>
        <w:endnoteRef/>
      </w:r>
      <w:r w:rsidRPr="00194289">
        <w:rPr>
          <w:rFonts w:ascii="Arial" w:hAnsi="Arial" w:cs="Arial"/>
          <w:sz w:val="24"/>
          <w:szCs w:val="24"/>
        </w:rPr>
        <w:t xml:space="preserve"> </w:t>
      </w:r>
      <w:r w:rsidRPr="00194289">
        <w:rPr>
          <w:rFonts w:ascii="Arial" w:hAnsi="Arial" w:cs="Arial"/>
          <w:sz w:val="24"/>
          <w:szCs w:val="24"/>
          <w:lang w:val="en-US"/>
        </w:rPr>
        <w:t>Annual Awa</w:t>
      </w:r>
      <w:r w:rsidR="00821E83" w:rsidRPr="00194289">
        <w:rPr>
          <w:rFonts w:ascii="Arial" w:hAnsi="Arial" w:cs="Arial"/>
          <w:sz w:val="24"/>
          <w:szCs w:val="24"/>
          <w:lang w:val="en-US"/>
        </w:rPr>
        <w:t>re</w:t>
      </w:r>
      <w:r w:rsidRPr="00194289">
        <w:rPr>
          <w:rFonts w:ascii="Arial" w:hAnsi="Arial" w:cs="Arial"/>
          <w:sz w:val="24"/>
          <w:szCs w:val="24"/>
          <w:lang w:val="en-US"/>
        </w:rPr>
        <w:t>ness Survey</w:t>
      </w:r>
      <w:r w:rsidR="00821E83" w:rsidRPr="00194289">
        <w:rPr>
          <w:rFonts w:ascii="Arial" w:hAnsi="Arial" w:cs="Arial"/>
          <w:sz w:val="24"/>
          <w:szCs w:val="24"/>
          <w:lang w:val="en-US"/>
        </w:rPr>
        <w:t>: Dec</w:t>
      </w:r>
      <w:r w:rsidR="00A811FF" w:rsidRPr="00194289">
        <w:rPr>
          <w:rFonts w:ascii="Arial" w:hAnsi="Arial" w:cs="Arial"/>
          <w:sz w:val="24"/>
          <w:szCs w:val="24"/>
          <w:lang w:val="en-US"/>
        </w:rPr>
        <w:t xml:space="preserve"> 2021</w:t>
      </w:r>
      <w:r w:rsidR="00821E83" w:rsidRPr="00194289">
        <w:rPr>
          <w:rFonts w:ascii="Arial" w:hAnsi="Arial" w:cs="Arial"/>
          <w:sz w:val="24"/>
          <w:szCs w:val="24"/>
          <w:lang w:val="en-US"/>
        </w:rPr>
        <w:t>-Jan 2022</w:t>
      </w:r>
    </w:p>
  </w:endnote>
  <w:endnote w:id="5">
    <w:p w14:paraId="5642F72F" w14:textId="7CA6070A" w:rsidR="00821E83" w:rsidRPr="00194289" w:rsidRDefault="00821E83" w:rsidP="00194289">
      <w:pPr>
        <w:pStyle w:val="EndnoteText"/>
        <w:spacing w:after="120"/>
        <w:rPr>
          <w:rFonts w:ascii="Arial" w:hAnsi="Arial" w:cs="Arial"/>
          <w:sz w:val="24"/>
          <w:szCs w:val="24"/>
          <w:lang w:val="en-US"/>
        </w:rPr>
      </w:pPr>
      <w:r w:rsidRPr="00194289">
        <w:rPr>
          <w:rStyle w:val="EndnoteReference"/>
          <w:rFonts w:ascii="Arial" w:hAnsi="Arial" w:cs="Arial"/>
          <w:sz w:val="24"/>
          <w:szCs w:val="24"/>
        </w:rPr>
        <w:endnoteRef/>
      </w:r>
      <w:r w:rsidRPr="00194289">
        <w:rPr>
          <w:rFonts w:ascii="Arial" w:hAnsi="Arial" w:cs="Arial"/>
          <w:sz w:val="24"/>
          <w:szCs w:val="24"/>
        </w:rPr>
        <w:t xml:space="preserve"> </w:t>
      </w:r>
      <w:r w:rsidRPr="00194289">
        <w:rPr>
          <w:rFonts w:ascii="Arial" w:hAnsi="Arial" w:cs="Arial"/>
          <w:sz w:val="24"/>
          <w:szCs w:val="24"/>
          <w:lang w:val="en-US"/>
        </w:rPr>
        <w:t>Annual Awareness Survey: Dec</w:t>
      </w:r>
      <w:r w:rsidR="00A811FF" w:rsidRPr="00194289">
        <w:rPr>
          <w:rFonts w:ascii="Arial" w:hAnsi="Arial" w:cs="Arial"/>
          <w:sz w:val="24"/>
          <w:szCs w:val="24"/>
          <w:lang w:val="en-US"/>
        </w:rPr>
        <w:t xml:space="preserve"> 2021</w:t>
      </w:r>
      <w:r w:rsidRPr="00194289">
        <w:rPr>
          <w:rFonts w:ascii="Arial" w:hAnsi="Arial" w:cs="Arial"/>
          <w:sz w:val="24"/>
          <w:szCs w:val="24"/>
          <w:lang w:val="en-US"/>
        </w:rPr>
        <w:t>-Jan 2022</w:t>
      </w:r>
    </w:p>
  </w:endnote>
  <w:endnote w:id="6">
    <w:p w14:paraId="7DC783FB" w14:textId="26FB8C33" w:rsidR="00821E83" w:rsidRPr="00194289" w:rsidRDefault="00821E83" w:rsidP="00194289">
      <w:pPr>
        <w:pStyle w:val="EndnoteText"/>
        <w:spacing w:after="120"/>
        <w:rPr>
          <w:rFonts w:ascii="Arial" w:hAnsi="Arial" w:cs="Arial"/>
          <w:sz w:val="24"/>
          <w:szCs w:val="24"/>
          <w:lang w:val="en-US"/>
        </w:rPr>
      </w:pPr>
      <w:r w:rsidRPr="00194289">
        <w:rPr>
          <w:rStyle w:val="EndnoteReference"/>
          <w:rFonts w:ascii="Arial" w:hAnsi="Arial" w:cs="Arial"/>
          <w:sz w:val="24"/>
          <w:szCs w:val="24"/>
        </w:rPr>
        <w:endnoteRef/>
      </w:r>
      <w:r w:rsidRPr="00194289">
        <w:rPr>
          <w:rFonts w:ascii="Arial" w:hAnsi="Arial" w:cs="Arial"/>
          <w:sz w:val="24"/>
          <w:szCs w:val="24"/>
        </w:rPr>
        <w:t xml:space="preserve"> </w:t>
      </w:r>
      <w:r w:rsidR="001A31F7" w:rsidRPr="00194289">
        <w:rPr>
          <w:rFonts w:ascii="Arial" w:hAnsi="Arial" w:cs="Arial"/>
          <w:sz w:val="24"/>
          <w:szCs w:val="24"/>
          <w:lang w:val="en-US"/>
        </w:rPr>
        <w:t>Desktop comparison of published assessment frameworks</w:t>
      </w:r>
    </w:p>
  </w:endnote>
  <w:endnote w:id="7">
    <w:p w14:paraId="41180597" w14:textId="79B87B22" w:rsidR="001A31F7" w:rsidRPr="00194289" w:rsidRDefault="001A31F7" w:rsidP="00194289">
      <w:pPr>
        <w:pStyle w:val="EndnoteText"/>
        <w:spacing w:after="120"/>
        <w:rPr>
          <w:rFonts w:ascii="Arial" w:hAnsi="Arial" w:cs="Arial"/>
          <w:sz w:val="24"/>
          <w:szCs w:val="24"/>
          <w:lang w:val="en-US"/>
        </w:rPr>
      </w:pPr>
      <w:r w:rsidRPr="00194289">
        <w:rPr>
          <w:rStyle w:val="EndnoteReference"/>
          <w:rFonts w:ascii="Arial" w:hAnsi="Arial" w:cs="Arial"/>
          <w:sz w:val="24"/>
          <w:szCs w:val="24"/>
        </w:rPr>
        <w:endnoteRef/>
      </w:r>
      <w:r w:rsidRPr="00194289">
        <w:rPr>
          <w:rFonts w:ascii="Arial" w:hAnsi="Arial" w:cs="Arial"/>
          <w:sz w:val="24"/>
          <w:szCs w:val="24"/>
        </w:rPr>
        <w:t xml:space="preserve"> </w:t>
      </w:r>
      <w:r w:rsidR="00364694" w:rsidRPr="00194289">
        <w:rPr>
          <w:rFonts w:ascii="Arial" w:hAnsi="Arial" w:cs="Arial"/>
          <w:sz w:val="24"/>
          <w:szCs w:val="24"/>
          <w:lang w:val="en-US"/>
        </w:rPr>
        <w:t>Annual stakeholder survey</w:t>
      </w:r>
    </w:p>
  </w:endnote>
  <w:endnote w:id="8">
    <w:p w14:paraId="71950577" w14:textId="42BFD3DB" w:rsidR="00A811FF" w:rsidRPr="00194289" w:rsidRDefault="00EC6991" w:rsidP="00194289">
      <w:pPr>
        <w:pStyle w:val="EndnoteText"/>
        <w:spacing w:after="120"/>
        <w:rPr>
          <w:rFonts w:ascii="Arial" w:hAnsi="Arial" w:cs="Arial"/>
          <w:sz w:val="24"/>
          <w:szCs w:val="24"/>
          <w:lang w:val="en-US"/>
        </w:rPr>
      </w:pPr>
      <w:r w:rsidRPr="00194289">
        <w:rPr>
          <w:rStyle w:val="EndnoteReference"/>
          <w:rFonts w:ascii="Arial" w:hAnsi="Arial" w:cs="Arial"/>
          <w:sz w:val="24"/>
          <w:szCs w:val="24"/>
        </w:rPr>
        <w:endnoteRef/>
      </w:r>
      <w:r w:rsidRPr="00194289">
        <w:rPr>
          <w:rFonts w:ascii="Arial" w:hAnsi="Arial" w:cs="Arial"/>
          <w:sz w:val="24"/>
          <w:szCs w:val="24"/>
        </w:rPr>
        <w:t xml:space="preserve"> </w:t>
      </w:r>
      <w:r w:rsidRPr="00194289">
        <w:rPr>
          <w:rFonts w:ascii="Arial" w:hAnsi="Arial" w:cs="Arial"/>
          <w:sz w:val="24"/>
          <w:szCs w:val="24"/>
          <w:lang w:val="en-US"/>
        </w:rPr>
        <w:t xml:space="preserve">Annual provider survey Nov-Dec </w:t>
      </w:r>
      <w:r w:rsidR="00A811FF" w:rsidRPr="00194289">
        <w:rPr>
          <w:rFonts w:ascii="Arial" w:hAnsi="Arial" w:cs="Arial"/>
          <w:sz w:val="24"/>
          <w:szCs w:val="24"/>
          <w:lang w:val="en-US"/>
        </w:rPr>
        <w:t>2021</w:t>
      </w:r>
    </w:p>
  </w:endnote>
  <w:endnote w:id="9">
    <w:p w14:paraId="620972DD" w14:textId="04FC5FCC" w:rsidR="003A5BB6" w:rsidRPr="00194289" w:rsidRDefault="003A5BB6" w:rsidP="00194289">
      <w:pPr>
        <w:pStyle w:val="EndnoteText"/>
        <w:spacing w:after="120"/>
        <w:rPr>
          <w:rFonts w:ascii="Arial" w:hAnsi="Arial" w:cs="Arial"/>
          <w:sz w:val="24"/>
          <w:szCs w:val="24"/>
          <w:lang w:val="en-US"/>
        </w:rPr>
      </w:pPr>
      <w:r w:rsidRPr="00194289">
        <w:rPr>
          <w:rStyle w:val="EndnoteReference"/>
          <w:rFonts w:ascii="Arial" w:hAnsi="Arial" w:cs="Arial"/>
          <w:sz w:val="24"/>
          <w:szCs w:val="24"/>
        </w:rPr>
        <w:endnoteRef/>
      </w:r>
      <w:r w:rsidRPr="00194289">
        <w:rPr>
          <w:rFonts w:ascii="Arial" w:hAnsi="Arial" w:cs="Arial"/>
          <w:sz w:val="24"/>
          <w:szCs w:val="24"/>
        </w:rPr>
        <w:t xml:space="preserve"> </w:t>
      </w:r>
      <w:r w:rsidRPr="00194289">
        <w:rPr>
          <w:rFonts w:ascii="Arial" w:hAnsi="Arial" w:cs="Arial"/>
          <w:sz w:val="24"/>
          <w:szCs w:val="24"/>
          <w:lang w:val="en-US"/>
        </w:rPr>
        <w:t>Annual provider survey Nov-Dec 2021</w:t>
      </w:r>
    </w:p>
  </w:endnote>
  <w:endnote w:id="10">
    <w:p w14:paraId="5467866B" w14:textId="0E5C8AAD" w:rsidR="006D3A82" w:rsidRPr="00194289" w:rsidRDefault="006D3A82" w:rsidP="00194289">
      <w:pPr>
        <w:pStyle w:val="EndnoteText"/>
        <w:spacing w:after="120"/>
        <w:rPr>
          <w:rFonts w:ascii="Arial" w:hAnsi="Arial" w:cs="Arial"/>
          <w:sz w:val="24"/>
          <w:szCs w:val="24"/>
          <w:lang w:val="en-US"/>
        </w:rPr>
      </w:pPr>
      <w:r w:rsidRPr="00194289">
        <w:rPr>
          <w:rStyle w:val="EndnoteReference"/>
          <w:rFonts w:ascii="Arial" w:hAnsi="Arial" w:cs="Arial"/>
          <w:sz w:val="24"/>
          <w:szCs w:val="24"/>
        </w:rPr>
        <w:endnoteRef/>
      </w:r>
      <w:r w:rsidRPr="00194289">
        <w:rPr>
          <w:rFonts w:ascii="Arial" w:hAnsi="Arial" w:cs="Arial"/>
          <w:sz w:val="24"/>
          <w:szCs w:val="24"/>
        </w:rPr>
        <w:t xml:space="preserve"> </w:t>
      </w:r>
      <w:r w:rsidRPr="00194289">
        <w:rPr>
          <w:rFonts w:ascii="Arial" w:hAnsi="Arial" w:cs="Arial"/>
          <w:sz w:val="24"/>
          <w:szCs w:val="24"/>
          <w:lang w:val="en-US"/>
        </w:rPr>
        <w:t>Annual Awareness Survey: Dec 2021-Jan 2022</w:t>
      </w:r>
    </w:p>
  </w:endnote>
  <w:endnote w:id="11">
    <w:p w14:paraId="407287C2" w14:textId="1CE769B9" w:rsidR="006D3A82" w:rsidRPr="00194289" w:rsidRDefault="006D3A82" w:rsidP="00194289">
      <w:pPr>
        <w:pStyle w:val="EndnoteText"/>
        <w:spacing w:after="120"/>
        <w:rPr>
          <w:rFonts w:ascii="Arial" w:hAnsi="Arial" w:cs="Arial"/>
          <w:sz w:val="24"/>
          <w:szCs w:val="24"/>
          <w:lang w:val="en-US"/>
        </w:rPr>
      </w:pPr>
      <w:r w:rsidRPr="00194289">
        <w:rPr>
          <w:rStyle w:val="EndnoteReference"/>
          <w:rFonts w:ascii="Arial" w:hAnsi="Arial" w:cs="Arial"/>
          <w:sz w:val="24"/>
          <w:szCs w:val="24"/>
        </w:rPr>
        <w:endnoteRef/>
      </w:r>
      <w:r w:rsidRPr="00194289">
        <w:rPr>
          <w:rFonts w:ascii="Arial" w:hAnsi="Arial" w:cs="Arial"/>
          <w:sz w:val="24"/>
          <w:szCs w:val="24"/>
        </w:rPr>
        <w:t xml:space="preserve"> </w:t>
      </w:r>
      <w:r w:rsidRPr="00194289">
        <w:rPr>
          <w:rFonts w:ascii="Arial" w:hAnsi="Arial" w:cs="Arial"/>
          <w:sz w:val="24"/>
          <w:szCs w:val="24"/>
          <w:lang w:val="en-US"/>
        </w:rPr>
        <w:t>Annual provider survey Nov-Dec 2021</w:t>
      </w:r>
    </w:p>
  </w:endnote>
  <w:endnote w:id="12">
    <w:p w14:paraId="383C4CD5" w14:textId="779AD69E" w:rsidR="00E06A99" w:rsidRPr="00194289" w:rsidRDefault="00E06A99" w:rsidP="00194289">
      <w:pPr>
        <w:pStyle w:val="EndnoteText"/>
        <w:spacing w:after="120"/>
        <w:rPr>
          <w:rFonts w:ascii="Arial" w:hAnsi="Arial" w:cs="Arial"/>
          <w:sz w:val="24"/>
          <w:szCs w:val="24"/>
          <w:lang w:val="en-US"/>
        </w:rPr>
      </w:pPr>
      <w:r w:rsidRPr="00194289">
        <w:rPr>
          <w:rStyle w:val="EndnoteReference"/>
          <w:rFonts w:ascii="Arial" w:hAnsi="Arial" w:cs="Arial"/>
          <w:sz w:val="24"/>
          <w:szCs w:val="24"/>
        </w:rPr>
        <w:endnoteRef/>
      </w:r>
      <w:r w:rsidRPr="00194289">
        <w:rPr>
          <w:rFonts w:ascii="Arial" w:hAnsi="Arial" w:cs="Arial"/>
          <w:sz w:val="24"/>
          <w:szCs w:val="24"/>
        </w:rPr>
        <w:t xml:space="preserve"> </w:t>
      </w:r>
      <w:r w:rsidRPr="00194289">
        <w:rPr>
          <w:rFonts w:ascii="Arial" w:hAnsi="Arial" w:cs="Arial"/>
          <w:sz w:val="24"/>
          <w:szCs w:val="24"/>
          <w:lang w:val="en-US"/>
        </w:rPr>
        <w:t>Annual stakeholder survey</w:t>
      </w:r>
    </w:p>
  </w:endnote>
  <w:endnote w:id="13">
    <w:p w14:paraId="5D0B961A" w14:textId="1481F7CD" w:rsidR="00E06A99" w:rsidRPr="00194289" w:rsidRDefault="00E06A99" w:rsidP="00194289">
      <w:pPr>
        <w:pStyle w:val="EndnoteText"/>
        <w:spacing w:after="120"/>
        <w:rPr>
          <w:rFonts w:ascii="Arial" w:hAnsi="Arial" w:cs="Arial"/>
          <w:sz w:val="24"/>
          <w:szCs w:val="24"/>
          <w:lang w:val="en-US"/>
        </w:rPr>
      </w:pPr>
      <w:r w:rsidRPr="00194289">
        <w:rPr>
          <w:rStyle w:val="EndnoteReference"/>
          <w:rFonts w:ascii="Arial" w:hAnsi="Arial" w:cs="Arial"/>
          <w:sz w:val="24"/>
          <w:szCs w:val="24"/>
        </w:rPr>
        <w:endnoteRef/>
      </w:r>
      <w:r w:rsidRPr="00194289">
        <w:rPr>
          <w:rFonts w:ascii="Arial" w:hAnsi="Arial" w:cs="Arial"/>
          <w:sz w:val="24"/>
          <w:szCs w:val="24"/>
        </w:rPr>
        <w:t xml:space="preserve"> </w:t>
      </w:r>
      <w:r w:rsidRPr="00194289">
        <w:rPr>
          <w:rFonts w:ascii="Arial" w:hAnsi="Arial" w:cs="Arial"/>
          <w:sz w:val="24"/>
          <w:szCs w:val="24"/>
          <w:lang w:val="en-US"/>
        </w:rPr>
        <w:t>Annual stakeholder survey</w:t>
      </w:r>
    </w:p>
  </w:endnote>
  <w:endnote w:id="14">
    <w:p w14:paraId="100BFABF" w14:textId="59F96B67" w:rsidR="001D555F" w:rsidRPr="001D555F" w:rsidRDefault="001D555F" w:rsidP="00497731">
      <w:pPr>
        <w:pStyle w:val="EndnoteText"/>
        <w:spacing w:line="264" w:lineRule="auto"/>
        <w:rPr>
          <w:lang w:val="en-US"/>
        </w:rPr>
      </w:pPr>
      <w:r>
        <w:rPr>
          <w:rStyle w:val="EndnoteReference"/>
        </w:rPr>
        <w:endnoteRef/>
      </w:r>
      <w:r>
        <w:t xml:space="preserve"> </w:t>
      </w:r>
      <w:r w:rsidRPr="00497731">
        <w:rPr>
          <w:rFonts w:ascii="Arial" w:hAnsi="Arial" w:cs="Arial"/>
          <w:sz w:val="24"/>
          <w:szCs w:val="24"/>
          <w:lang w:val="en-US"/>
        </w:rPr>
        <w:t xml:space="preserve">Desktop review of published </w:t>
      </w:r>
      <w:r w:rsidR="00FB69AA" w:rsidRPr="00497731">
        <w:rPr>
          <w:rFonts w:ascii="Arial" w:hAnsi="Arial" w:cs="Arial"/>
          <w:sz w:val="24"/>
          <w:szCs w:val="24"/>
          <w:lang w:val="en-US"/>
        </w:rPr>
        <w:t>Joint working agreements: https://www.cqc.org.uk/about-us/our-partnerships/joint-working-agreements</w:t>
      </w:r>
    </w:p>
  </w:endnote>
  <w:endnote w:id="15">
    <w:p w14:paraId="40844DDA" w14:textId="44A4B157" w:rsidR="00035694" w:rsidRPr="00194289" w:rsidRDefault="00035694" w:rsidP="00194289">
      <w:pPr>
        <w:pStyle w:val="EndnoteText"/>
        <w:spacing w:after="120"/>
        <w:rPr>
          <w:rFonts w:ascii="Arial" w:hAnsi="Arial" w:cs="Arial"/>
          <w:sz w:val="24"/>
          <w:szCs w:val="24"/>
          <w:lang w:val="en-US"/>
        </w:rPr>
      </w:pPr>
      <w:r w:rsidRPr="00194289">
        <w:rPr>
          <w:rStyle w:val="EndnoteReference"/>
          <w:rFonts w:ascii="Arial" w:hAnsi="Arial" w:cs="Arial"/>
          <w:sz w:val="24"/>
          <w:szCs w:val="24"/>
        </w:rPr>
        <w:endnoteRef/>
      </w:r>
      <w:r w:rsidRPr="00194289">
        <w:rPr>
          <w:rFonts w:ascii="Arial" w:hAnsi="Arial" w:cs="Arial"/>
          <w:sz w:val="24"/>
          <w:szCs w:val="24"/>
        </w:rPr>
        <w:t xml:space="preserve"> </w:t>
      </w:r>
      <w:r w:rsidR="0073175B" w:rsidRPr="00194289">
        <w:rPr>
          <w:rFonts w:ascii="Arial" w:hAnsi="Arial" w:cs="Arial"/>
          <w:sz w:val="24"/>
          <w:szCs w:val="24"/>
          <w:lang w:val="en-US"/>
        </w:rPr>
        <w:t>Annual provider survey Nov-Dec 2021</w:t>
      </w:r>
    </w:p>
  </w:endnote>
  <w:endnote w:id="16">
    <w:p w14:paraId="3B6B1878" w14:textId="13FE7B8C" w:rsidR="00702372" w:rsidRPr="00194289" w:rsidRDefault="00702372" w:rsidP="00194289">
      <w:pPr>
        <w:pStyle w:val="EndnoteText"/>
        <w:spacing w:after="120"/>
        <w:rPr>
          <w:rFonts w:ascii="Arial" w:hAnsi="Arial" w:cs="Arial"/>
          <w:sz w:val="24"/>
          <w:szCs w:val="24"/>
          <w:lang w:val="en-US"/>
        </w:rPr>
      </w:pPr>
      <w:r w:rsidRPr="00194289">
        <w:rPr>
          <w:rStyle w:val="EndnoteReference"/>
          <w:rFonts w:ascii="Arial" w:hAnsi="Arial" w:cs="Arial"/>
          <w:sz w:val="24"/>
          <w:szCs w:val="24"/>
        </w:rPr>
        <w:endnoteRef/>
      </w:r>
      <w:r w:rsidRPr="00194289">
        <w:rPr>
          <w:rFonts w:ascii="Arial" w:hAnsi="Arial" w:cs="Arial"/>
          <w:sz w:val="24"/>
          <w:szCs w:val="24"/>
        </w:rPr>
        <w:t xml:space="preserve"> </w:t>
      </w:r>
      <w:r w:rsidRPr="00194289">
        <w:rPr>
          <w:rFonts w:ascii="Arial" w:hAnsi="Arial" w:cs="Arial"/>
          <w:sz w:val="24"/>
          <w:szCs w:val="24"/>
          <w:lang w:val="en-US"/>
        </w:rPr>
        <w:t>Annual provider survey Nov-Dec 2021</w:t>
      </w:r>
    </w:p>
  </w:endnote>
  <w:endnote w:id="17">
    <w:p w14:paraId="497606D9" w14:textId="5DB6ACEE" w:rsidR="00702372" w:rsidRPr="00702372" w:rsidRDefault="00702372" w:rsidP="00194289">
      <w:pPr>
        <w:pStyle w:val="EndnoteText"/>
        <w:spacing w:after="120"/>
        <w:rPr>
          <w:rFonts w:ascii="Arial" w:hAnsi="Arial" w:cs="Arial"/>
          <w:sz w:val="24"/>
          <w:szCs w:val="24"/>
          <w:lang w:val="en-US"/>
        </w:rPr>
      </w:pPr>
      <w:r w:rsidRPr="00194289">
        <w:rPr>
          <w:rStyle w:val="EndnoteReference"/>
          <w:rFonts w:ascii="Arial" w:hAnsi="Arial" w:cs="Arial"/>
          <w:sz w:val="24"/>
          <w:szCs w:val="24"/>
        </w:rPr>
        <w:endnoteRef/>
      </w:r>
      <w:r w:rsidRPr="00194289">
        <w:rPr>
          <w:rFonts w:ascii="Arial" w:hAnsi="Arial" w:cs="Arial"/>
          <w:sz w:val="24"/>
          <w:szCs w:val="24"/>
        </w:rPr>
        <w:t xml:space="preserve"> </w:t>
      </w:r>
      <w:r w:rsidRPr="00194289">
        <w:rPr>
          <w:rFonts w:ascii="Arial" w:hAnsi="Arial" w:cs="Arial"/>
          <w:sz w:val="24"/>
          <w:szCs w:val="24"/>
          <w:lang w:val="en-US"/>
        </w:rPr>
        <w:t>Desktop review of publications on CQC website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People’s experiences inclu">
    <w:altName w:val="Arial"/>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9847176"/>
      <w:docPartObj>
        <w:docPartGallery w:val="Page Numbers (Bottom of Page)"/>
        <w:docPartUnique/>
      </w:docPartObj>
    </w:sdtPr>
    <w:sdtEndPr>
      <w:rPr>
        <w:noProof/>
      </w:rPr>
    </w:sdtEndPr>
    <w:sdtContent>
      <w:p w14:paraId="443A74C0" w14:textId="6ACFFBC3" w:rsidR="00C5134E" w:rsidRDefault="00C513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9E41F1" w14:textId="77777777" w:rsidR="00C5134E" w:rsidRDefault="00C513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2452848"/>
      <w:docPartObj>
        <w:docPartGallery w:val="Page Numbers (Bottom of Page)"/>
        <w:docPartUnique/>
      </w:docPartObj>
    </w:sdtPr>
    <w:sdtEndPr>
      <w:rPr>
        <w:noProof/>
      </w:rPr>
    </w:sdtEndPr>
    <w:sdtContent>
      <w:p w14:paraId="7B1EA4C1" w14:textId="55E0B361" w:rsidR="00CD0DE7" w:rsidRDefault="00CD0D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326F2C" w14:textId="77777777" w:rsidR="00CD0DE7" w:rsidRDefault="00CD0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73012" w14:textId="77777777" w:rsidR="00766C6F" w:rsidRDefault="00766C6F" w:rsidP="006F1FF3">
      <w:pPr>
        <w:spacing w:after="0" w:line="240" w:lineRule="auto"/>
      </w:pPr>
      <w:r>
        <w:separator/>
      </w:r>
    </w:p>
  </w:footnote>
  <w:footnote w:type="continuationSeparator" w:id="0">
    <w:p w14:paraId="060DACC0" w14:textId="77777777" w:rsidR="00766C6F" w:rsidRDefault="00766C6F" w:rsidP="006F1FF3">
      <w:pPr>
        <w:spacing w:after="0" w:line="240" w:lineRule="auto"/>
      </w:pPr>
      <w:r>
        <w:continuationSeparator/>
      </w:r>
    </w:p>
  </w:footnote>
  <w:footnote w:type="continuationNotice" w:id="1">
    <w:p w14:paraId="4DCEC400" w14:textId="77777777" w:rsidR="00766C6F" w:rsidRDefault="00766C6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20AA"/>
    <w:multiLevelType w:val="hybridMultilevel"/>
    <w:tmpl w:val="119CE2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2F5C5F"/>
    <w:multiLevelType w:val="multilevel"/>
    <w:tmpl w:val="E26E1456"/>
    <w:lvl w:ilvl="0">
      <w:start w:val="1"/>
      <w:numFmt w:val="decimal"/>
      <w:lvlText w:val="%1."/>
      <w:lvlJc w:val="left"/>
      <w:pPr>
        <w:ind w:left="360" w:hanging="360"/>
      </w:pPr>
      <w:rPr>
        <w:rFonts w:ascii="Arial" w:eastAsiaTheme="majorEastAsia" w:hAnsi="Arial" w:cs="Arial" w:hint="default"/>
        <w:sz w:val="28"/>
        <w:u w:val="none"/>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9F70D3"/>
    <w:multiLevelType w:val="multilevel"/>
    <w:tmpl w:val="41F4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6D10DF"/>
    <w:multiLevelType w:val="multilevel"/>
    <w:tmpl w:val="C71E8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BD52A7"/>
    <w:multiLevelType w:val="hybridMultilevel"/>
    <w:tmpl w:val="1FC64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8C414F"/>
    <w:multiLevelType w:val="hybridMultilevel"/>
    <w:tmpl w:val="9C0ACA9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19775B"/>
    <w:multiLevelType w:val="multilevel"/>
    <w:tmpl w:val="3B5A78E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B1F76FA"/>
    <w:multiLevelType w:val="multilevel"/>
    <w:tmpl w:val="51521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6A6C7A"/>
    <w:multiLevelType w:val="hybridMultilevel"/>
    <w:tmpl w:val="AD38C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085AB9"/>
    <w:multiLevelType w:val="multilevel"/>
    <w:tmpl w:val="8C1EE7B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6B31F08"/>
    <w:multiLevelType w:val="hybridMultilevel"/>
    <w:tmpl w:val="6616B050"/>
    <w:lvl w:ilvl="0" w:tplc="A4329EFA">
      <w:start w:val="1"/>
      <w:numFmt w:val="decimal"/>
      <w:lvlText w:val="%1."/>
      <w:lvlJc w:val="left"/>
      <w:pPr>
        <w:ind w:left="360" w:hanging="360"/>
      </w:pPr>
      <w:rPr>
        <w:rFonts w:hint="default"/>
        <w:sz w:val="28"/>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8735E89"/>
    <w:multiLevelType w:val="hybridMultilevel"/>
    <w:tmpl w:val="BD0E7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36497F"/>
    <w:multiLevelType w:val="multilevel"/>
    <w:tmpl w:val="8DFA522E"/>
    <w:lvl w:ilvl="0">
      <w:start w:val="1"/>
      <w:numFmt w:val="bullet"/>
      <w:lvlText w:val=""/>
      <w:lvlJc w:val="left"/>
      <w:pPr>
        <w:ind w:left="360" w:hanging="360"/>
      </w:pPr>
      <w:rPr>
        <w:rFonts w:ascii="Symbol" w:hAnsi="Symbol" w:hint="default"/>
      </w:rPr>
    </w:lvl>
    <w:lvl w:ilvl="1">
      <w:start w:val="1"/>
      <w:numFmt w:val="bullet"/>
      <w:lvlText w:val=""/>
      <w:lvlJc w:val="left"/>
      <w:pPr>
        <w:ind w:left="1152" w:hanging="360"/>
      </w:pPr>
      <w:rPr>
        <w:rFonts w:ascii="Symbol" w:hAnsi="Symbol"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13" w15:restartNumberingAfterBreak="0">
    <w:nsid w:val="556C5F39"/>
    <w:multiLevelType w:val="multilevel"/>
    <w:tmpl w:val="A12CA068"/>
    <w:lvl w:ilvl="0">
      <w:start w:val="5"/>
      <w:numFmt w:val="decimal"/>
      <w:lvlText w:val="%1"/>
      <w:lvlJc w:val="left"/>
      <w:pPr>
        <w:ind w:left="360" w:hanging="360"/>
      </w:pPr>
      <w:rPr>
        <w:rFonts w:hint="default"/>
      </w:rPr>
    </w:lvl>
    <w:lvl w:ilvl="1">
      <w:start w:val="1"/>
      <w:numFmt w:val="decimal"/>
      <w:lvlText w:val="%1.%2"/>
      <w:lvlJc w:val="left"/>
      <w:pPr>
        <w:ind w:left="1512" w:hanging="36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176" w:hanging="72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352" w:hanging="1440"/>
      </w:pPr>
      <w:rPr>
        <w:rFonts w:hint="default"/>
      </w:rPr>
    </w:lvl>
    <w:lvl w:ilvl="7">
      <w:start w:val="1"/>
      <w:numFmt w:val="decimal"/>
      <w:lvlText w:val="%1.%2.%3.%4.%5.%6.%7.%8"/>
      <w:lvlJc w:val="left"/>
      <w:pPr>
        <w:ind w:left="9864" w:hanging="1800"/>
      </w:pPr>
      <w:rPr>
        <w:rFonts w:hint="default"/>
      </w:rPr>
    </w:lvl>
    <w:lvl w:ilvl="8">
      <w:start w:val="1"/>
      <w:numFmt w:val="decimal"/>
      <w:lvlText w:val="%1.%2.%3.%4.%5.%6.%7.%8.%9"/>
      <w:lvlJc w:val="left"/>
      <w:pPr>
        <w:ind w:left="11016" w:hanging="1800"/>
      </w:pPr>
      <w:rPr>
        <w:rFonts w:hint="default"/>
      </w:rPr>
    </w:lvl>
  </w:abstractNum>
  <w:abstractNum w:abstractNumId="14" w15:restartNumberingAfterBreak="0">
    <w:nsid w:val="679500FF"/>
    <w:multiLevelType w:val="multilevel"/>
    <w:tmpl w:val="39C0D2B2"/>
    <w:lvl w:ilvl="0">
      <w:start w:val="1"/>
      <w:numFmt w:val="decimal"/>
      <w:lvlText w:val="%1."/>
      <w:lvlJc w:val="left"/>
      <w:pPr>
        <w:ind w:left="360" w:hanging="360"/>
      </w:pPr>
      <w:rPr>
        <w:rFonts w:ascii="Arial" w:eastAsiaTheme="majorEastAsia" w:hAnsi="Arial" w:cs="Arial" w:hint="default"/>
        <w:sz w:val="28"/>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A9D5169"/>
    <w:multiLevelType w:val="hybridMultilevel"/>
    <w:tmpl w:val="86084600"/>
    <w:lvl w:ilvl="0" w:tplc="0DA49ADC">
      <w:start w:val="1"/>
      <w:numFmt w:val="decimal"/>
      <w:lvlText w:val="%1."/>
      <w:lvlJc w:val="left"/>
      <w:pPr>
        <w:ind w:left="1080" w:hanging="360"/>
      </w:pPr>
      <w:rPr>
        <w:rFonts w:eastAsiaTheme="majorEastAsia" w:hint="default"/>
        <w:b/>
        <w:color w:val="000000" w:themeColor="text1"/>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B946A19"/>
    <w:multiLevelType w:val="multilevel"/>
    <w:tmpl w:val="1200DF3E"/>
    <w:lvl w:ilvl="0">
      <w:start w:val="1"/>
      <w:numFmt w:val="decimal"/>
      <w:lvlText w:val="%1"/>
      <w:lvlJc w:val="left"/>
      <w:pPr>
        <w:ind w:left="360" w:hanging="360"/>
      </w:pPr>
      <w:rPr>
        <w:rFonts w:hint="default"/>
        <w:b/>
      </w:rPr>
    </w:lvl>
    <w:lvl w:ilvl="1">
      <w:start w:val="1"/>
      <w:numFmt w:val="decimal"/>
      <w:lvlText w:val="%1.%2"/>
      <w:lvlJc w:val="left"/>
      <w:pPr>
        <w:ind w:left="1152" w:hanging="360"/>
      </w:pPr>
      <w:rPr>
        <w:rFonts w:hint="default"/>
        <w:b/>
      </w:rPr>
    </w:lvl>
    <w:lvl w:ilvl="2">
      <w:start w:val="1"/>
      <w:numFmt w:val="decimal"/>
      <w:lvlText w:val="%1.%2.%3"/>
      <w:lvlJc w:val="left"/>
      <w:pPr>
        <w:ind w:left="2304" w:hanging="720"/>
      </w:pPr>
      <w:rPr>
        <w:rFonts w:hint="default"/>
        <w:b/>
      </w:rPr>
    </w:lvl>
    <w:lvl w:ilvl="3">
      <w:start w:val="1"/>
      <w:numFmt w:val="decimal"/>
      <w:lvlText w:val="%1.%2.%3.%4"/>
      <w:lvlJc w:val="left"/>
      <w:pPr>
        <w:ind w:left="3096" w:hanging="720"/>
      </w:pPr>
      <w:rPr>
        <w:rFonts w:hint="default"/>
        <w:b/>
      </w:rPr>
    </w:lvl>
    <w:lvl w:ilvl="4">
      <w:start w:val="1"/>
      <w:numFmt w:val="decimal"/>
      <w:lvlText w:val="%1.%2.%3.%4.%5"/>
      <w:lvlJc w:val="left"/>
      <w:pPr>
        <w:ind w:left="4248"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92" w:hanging="1440"/>
      </w:pPr>
      <w:rPr>
        <w:rFonts w:hint="default"/>
        <w:b/>
      </w:rPr>
    </w:lvl>
    <w:lvl w:ilvl="7">
      <w:start w:val="1"/>
      <w:numFmt w:val="decimal"/>
      <w:lvlText w:val="%1.%2.%3.%4.%5.%6.%7.%8"/>
      <w:lvlJc w:val="left"/>
      <w:pPr>
        <w:ind w:left="7344" w:hanging="1800"/>
      </w:pPr>
      <w:rPr>
        <w:rFonts w:hint="default"/>
        <w:b/>
      </w:rPr>
    </w:lvl>
    <w:lvl w:ilvl="8">
      <w:start w:val="1"/>
      <w:numFmt w:val="decimal"/>
      <w:lvlText w:val="%1.%2.%3.%4.%5.%6.%7.%8.%9"/>
      <w:lvlJc w:val="left"/>
      <w:pPr>
        <w:ind w:left="8136" w:hanging="1800"/>
      </w:pPr>
      <w:rPr>
        <w:rFonts w:hint="default"/>
        <w:b/>
      </w:rPr>
    </w:lvl>
  </w:abstractNum>
  <w:abstractNum w:abstractNumId="17" w15:restartNumberingAfterBreak="0">
    <w:nsid w:val="71F6307D"/>
    <w:multiLevelType w:val="multilevel"/>
    <w:tmpl w:val="CFAEF238"/>
    <w:lvl w:ilvl="0">
      <w:start w:val="1"/>
      <w:numFmt w:val="decimal"/>
      <w:lvlText w:val="%1"/>
      <w:lvlJc w:val="left"/>
      <w:pPr>
        <w:ind w:left="360" w:hanging="360"/>
      </w:pPr>
      <w:rPr>
        <w:rFonts w:hint="default"/>
      </w:rPr>
    </w:lvl>
    <w:lvl w:ilvl="1">
      <w:start w:val="1"/>
      <w:numFmt w:val="bullet"/>
      <w:lvlText w:val=""/>
      <w:lvlJc w:val="left"/>
      <w:pPr>
        <w:ind w:left="1152" w:hanging="360"/>
      </w:pPr>
      <w:rPr>
        <w:rFonts w:ascii="Symbol" w:hAnsi="Symbol"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18" w15:restartNumberingAfterBreak="0">
    <w:nsid w:val="724926E2"/>
    <w:multiLevelType w:val="multilevel"/>
    <w:tmpl w:val="E8AE03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3CF1DAF"/>
    <w:multiLevelType w:val="hybridMultilevel"/>
    <w:tmpl w:val="9C0ACA9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4433CB"/>
    <w:multiLevelType w:val="hybridMultilevel"/>
    <w:tmpl w:val="A514769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CB380E"/>
    <w:multiLevelType w:val="hybridMultilevel"/>
    <w:tmpl w:val="9C0ACA9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17"/>
  </w:num>
  <w:num w:numId="4">
    <w:abstractNumId w:val="13"/>
  </w:num>
  <w:num w:numId="5">
    <w:abstractNumId w:val="16"/>
  </w:num>
  <w:num w:numId="6">
    <w:abstractNumId w:val="18"/>
  </w:num>
  <w:num w:numId="7">
    <w:abstractNumId w:val="6"/>
  </w:num>
  <w:num w:numId="8">
    <w:abstractNumId w:val="9"/>
  </w:num>
  <w:num w:numId="9">
    <w:abstractNumId w:val="12"/>
  </w:num>
  <w:num w:numId="10">
    <w:abstractNumId w:val="8"/>
  </w:num>
  <w:num w:numId="11">
    <w:abstractNumId w:val="0"/>
  </w:num>
  <w:num w:numId="12">
    <w:abstractNumId w:val="21"/>
  </w:num>
  <w:num w:numId="13">
    <w:abstractNumId w:val="15"/>
  </w:num>
  <w:num w:numId="14">
    <w:abstractNumId w:val="10"/>
  </w:num>
  <w:num w:numId="15">
    <w:abstractNumId w:val="14"/>
  </w:num>
  <w:num w:numId="16">
    <w:abstractNumId w:val="7"/>
  </w:num>
  <w:num w:numId="17">
    <w:abstractNumId w:val="2"/>
  </w:num>
  <w:num w:numId="18">
    <w:abstractNumId w:val="3"/>
  </w:num>
  <w:num w:numId="19">
    <w:abstractNumId w:val="19"/>
  </w:num>
  <w:num w:numId="20">
    <w:abstractNumId w:val="11"/>
  </w:num>
  <w:num w:numId="21">
    <w:abstractNumId w:val="20"/>
  </w:num>
  <w:num w:numId="22">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737"/>
    <w:rsid w:val="00004D6C"/>
    <w:rsid w:val="000061EB"/>
    <w:rsid w:val="000066D6"/>
    <w:rsid w:val="00007C61"/>
    <w:rsid w:val="0001274B"/>
    <w:rsid w:val="000139BB"/>
    <w:rsid w:val="00014663"/>
    <w:rsid w:val="000148F4"/>
    <w:rsid w:val="00014C88"/>
    <w:rsid w:val="00016A5B"/>
    <w:rsid w:val="0001718D"/>
    <w:rsid w:val="000172E8"/>
    <w:rsid w:val="00021D3B"/>
    <w:rsid w:val="00024297"/>
    <w:rsid w:val="0002476A"/>
    <w:rsid w:val="00024DF4"/>
    <w:rsid w:val="00030E9D"/>
    <w:rsid w:val="00032435"/>
    <w:rsid w:val="00033DF2"/>
    <w:rsid w:val="000350C0"/>
    <w:rsid w:val="00035694"/>
    <w:rsid w:val="0003748F"/>
    <w:rsid w:val="00040B8A"/>
    <w:rsid w:val="00040FE3"/>
    <w:rsid w:val="000422C6"/>
    <w:rsid w:val="00043BD0"/>
    <w:rsid w:val="00044D3E"/>
    <w:rsid w:val="00046C4C"/>
    <w:rsid w:val="00047A3C"/>
    <w:rsid w:val="00047D6A"/>
    <w:rsid w:val="00047E7B"/>
    <w:rsid w:val="000552FC"/>
    <w:rsid w:val="00056F3B"/>
    <w:rsid w:val="0006008D"/>
    <w:rsid w:val="00064B26"/>
    <w:rsid w:val="00064C36"/>
    <w:rsid w:val="00067005"/>
    <w:rsid w:val="000720F9"/>
    <w:rsid w:val="000769C8"/>
    <w:rsid w:val="000811C9"/>
    <w:rsid w:val="00082988"/>
    <w:rsid w:val="000845CB"/>
    <w:rsid w:val="000906BE"/>
    <w:rsid w:val="0009692C"/>
    <w:rsid w:val="000A0AB7"/>
    <w:rsid w:val="000A1D5A"/>
    <w:rsid w:val="000A1F07"/>
    <w:rsid w:val="000A39BD"/>
    <w:rsid w:val="000A3E76"/>
    <w:rsid w:val="000B02B4"/>
    <w:rsid w:val="000B5C19"/>
    <w:rsid w:val="000B7032"/>
    <w:rsid w:val="000B7F4E"/>
    <w:rsid w:val="000C0CA7"/>
    <w:rsid w:val="000C45B9"/>
    <w:rsid w:val="000C60AA"/>
    <w:rsid w:val="000C7233"/>
    <w:rsid w:val="000D0F7B"/>
    <w:rsid w:val="000D116F"/>
    <w:rsid w:val="000D2434"/>
    <w:rsid w:val="000E1CF8"/>
    <w:rsid w:val="000E26AC"/>
    <w:rsid w:val="000E3FDE"/>
    <w:rsid w:val="000E649A"/>
    <w:rsid w:val="000E7214"/>
    <w:rsid w:val="000E7938"/>
    <w:rsid w:val="000F74BB"/>
    <w:rsid w:val="00100B4B"/>
    <w:rsid w:val="00101402"/>
    <w:rsid w:val="001014A0"/>
    <w:rsid w:val="00102CEB"/>
    <w:rsid w:val="00103154"/>
    <w:rsid w:val="00105217"/>
    <w:rsid w:val="00105276"/>
    <w:rsid w:val="001052EA"/>
    <w:rsid w:val="0010647D"/>
    <w:rsid w:val="00106D35"/>
    <w:rsid w:val="00106EBB"/>
    <w:rsid w:val="00115584"/>
    <w:rsid w:val="00116CDE"/>
    <w:rsid w:val="00123989"/>
    <w:rsid w:val="00123C0A"/>
    <w:rsid w:val="00127279"/>
    <w:rsid w:val="001272B6"/>
    <w:rsid w:val="0012779B"/>
    <w:rsid w:val="00127ED2"/>
    <w:rsid w:val="00130B95"/>
    <w:rsid w:val="00130BB0"/>
    <w:rsid w:val="001315B1"/>
    <w:rsid w:val="00133CB1"/>
    <w:rsid w:val="00136236"/>
    <w:rsid w:val="00145E5F"/>
    <w:rsid w:val="00145E7C"/>
    <w:rsid w:val="00154508"/>
    <w:rsid w:val="00156CDF"/>
    <w:rsid w:val="001621AC"/>
    <w:rsid w:val="001622C5"/>
    <w:rsid w:val="00173144"/>
    <w:rsid w:val="0017622A"/>
    <w:rsid w:val="00176FEB"/>
    <w:rsid w:val="00182E18"/>
    <w:rsid w:val="00184CFB"/>
    <w:rsid w:val="00186C27"/>
    <w:rsid w:val="00191A5F"/>
    <w:rsid w:val="00193878"/>
    <w:rsid w:val="00194289"/>
    <w:rsid w:val="0019451D"/>
    <w:rsid w:val="00194D52"/>
    <w:rsid w:val="0019513E"/>
    <w:rsid w:val="0019549A"/>
    <w:rsid w:val="0019640A"/>
    <w:rsid w:val="001A0D88"/>
    <w:rsid w:val="001A0E85"/>
    <w:rsid w:val="001A113F"/>
    <w:rsid w:val="001A15C2"/>
    <w:rsid w:val="001A1D73"/>
    <w:rsid w:val="001A31F7"/>
    <w:rsid w:val="001A354A"/>
    <w:rsid w:val="001A3CC6"/>
    <w:rsid w:val="001A3E09"/>
    <w:rsid w:val="001A487E"/>
    <w:rsid w:val="001A6880"/>
    <w:rsid w:val="001B011F"/>
    <w:rsid w:val="001B01BE"/>
    <w:rsid w:val="001B1C09"/>
    <w:rsid w:val="001B2E7F"/>
    <w:rsid w:val="001B7338"/>
    <w:rsid w:val="001B75AE"/>
    <w:rsid w:val="001B7A20"/>
    <w:rsid w:val="001C125B"/>
    <w:rsid w:val="001C1581"/>
    <w:rsid w:val="001C293A"/>
    <w:rsid w:val="001C411F"/>
    <w:rsid w:val="001C481A"/>
    <w:rsid w:val="001C53EB"/>
    <w:rsid w:val="001C561F"/>
    <w:rsid w:val="001C5680"/>
    <w:rsid w:val="001D0AE1"/>
    <w:rsid w:val="001D1D84"/>
    <w:rsid w:val="001D243B"/>
    <w:rsid w:val="001D3787"/>
    <w:rsid w:val="001D4A8A"/>
    <w:rsid w:val="001D4F7A"/>
    <w:rsid w:val="001D520C"/>
    <w:rsid w:val="001D555F"/>
    <w:rsid w:val="001D55FE"/>
    <w:rsid w:val="001D5E67"/>
    <w:rsid w:val="001D6E81"/>
    <w:rsid w:val="001E35C0"/>
    <w:rsid w:val="001E5A2B"/>
    <w:rsid w:val="001F005B"/>
    <w:rsid w:val="001F4F67"/>
    <w:rsid w:val="00201AD1"/>
    <w:rsid w:val="00202632"/>
    <w:rsid w:val="002043B5"/>
    <w:rsid w:val="002074E0"/>
    <w:rsid w:val="00207AAE"/>
    <w:rsid w:val="00211EE7"/>
    <w:rsid w:val="0021455A"/>
    <w:rsid w:val="00216078"/>
    <w:rsid w:val="00216EE5"/>
    <w:rsid w:val="00220176"/>
    <w:rsid w:val="0022549A"/>
    <w:rsid w:val="00225867"/>
    <w:rsid w:val="00226117"/>
    <w:rsid w:val="00230326"/>
    <w:rsid w:val="00231973"/>
    <w:rsid w:val="0023326F"/>
    <w:rsid w:val="00233337"/>
    <w:rsid w:val="0023546D"/>
    <w:rsid w:val="00236F6D"/>
    <w:rsid w:val="00236FEF"/>
    <w:rsid w:val="00237637"/>
    <w:rsid w:val="00240562"/>
    <w:rsid w:val="00242436"/>
    <w:rsid w:val="0024365F"/>
    <w:rsid w:val="00244C89"/>
    <w:rsid w:val="00245060"/>
    <w:rsid w:val="00246278"/>
    <w:rsid w:val="002600F7"/>
    <w:rsid w:val="00260FC2"/>
    <w:rsid w:val="00264423"/>
    <w:rsid w:val="00264B63"/>
    <w:rsid w:val="00265AD7"/>
    <w:rsid w:val="00271318"/>
    <w:rsid w:val="00271CB3"/>
    <w:rsid w:val="00273BC6"/>
    <w:rsid w:val="002807CA"/>
    <w:rsid w:val="00280D84"/>
    <w:rsid w:val="00285846"/>
    <w:rsid w:val="0028C06E"/>
    <w:rsid w:val="002906E1"/>
    <w:rsid w:val="00290C42"/>
    <w:rsid w:val="002936DA"/>
    <w:rsid w:val="002938DB"/>
    <w:rsid w:val="00295824"/>
    <w:rsid w:val="00296D8D"/>
    <w:rsid w:val="002971A3"/>
    <w:rsid w:val="002A349C"/>
    <w:rsid w:val="002A4EFA"/>
    <w:rsid w:val="002A79CE"/>
    <w:rsid w:val="002A7A25"/>
    <w:rsid w:val="002B1AD2"/>
    <w:rsid w:val="002B61AF"/>
    <w:rsid w:val="002B655F"/>
    <w:rsid w:val="002C26B4"/>
    <w:rsid w:val="002C3E2A"/>
    <w:rsid w:val="002C7C8F"/>
    <w:rsid w:val="002D250D"/>
    <w:rsid w:val="002D5E33"/>
    <w:rsid w:val="002E1974"/>
    <w:rsid w:val="002E1D11"/>
    <w:rsid w:val="002E23B7"/>
    <w:rsid w:val="002E2D1C"/>
    <w:rsid w:val="002E3497"/>
    <w:rsid w:val="002E3E21"/>
    <w:rsid w:val="002E3F0D"/>
    <w:rsid w:val="002E44AB"/>
    <w:rsid w:val="002E44D8"/>
    <w:rsid w:val="002E4AFF"/>
    <w:rsid w:val="002E65AA"/>
    <w:rsid w:val="002E6CF9"/>
    <w:rsid w:val="002E6FB5"/>
    <w:rsid w:val="002F1709"/>
    <w:rsid w:val="002F3F30"/>
    <w:rsid w:val="002F4251"/>
    <w:rsid w:val="002F49E6"/>
    <w:rsid w:val="002F4A79"/>
    <w:rsid w:val="002F4AE2"/>
    <w:rsid w:val="002F575C"/>
    <w:rsid w:val="00301353"/>
    <w:rsid w:val="003025A2"/>
    <w:rsid w:val="003035F2"/>
    <w:rsid w:val="003059BE"/>
    <w:rsid w:val="00312772"/>
    <w:rsid w:val="00315C14"/>
    <w:rsid w:val="00316694"/>
    <w:rsid w:val="003173F5"/>
    <w:rsid w:val="003232D3"/>
    <w:rsid w:val="00323F6E"/>
    <w:rsid w:val="00324256"/>
    <w:rsid w:val="0032430A"/>
    <w:rsid w:val="00324DE6"/>
    <w:rsid w:val="0032700E"/>
    <w:rsid w:val="003300EA"/>
    <w:rsid w:val="00335BEE"/>
    <w:rsid w:val="00336E47"/>
    <w:rsid w:val="00340790"/>
    <w:rsid w:val="0034145C"/>
    <w:rsid w:val="00343286"/>
    <w:rsid w:val="00344084"/>
    <w:rsid w:val="00346E31"/>
    <w:rsid w:val="003505D9"/>
    <w:rsid w:val="003506A1"/>
    <w:rsid w:val="00350768"/>
    <w:rsid w:val="00352DA2"/>
    <w:rsid w:val="00354B5A"/>
    <w:rsid w:val="003563D1"/>
    <w:rsid w:val="003567BF"/>
    <w:rsid w:val="00356C54"/>
    <w:rsid w:val="003611C9"/>
    <w:rsid w:val="00361F71"/>
    <w:rsid w:val="00364694"/>
    <w:rsid w:val="0036481D"/>
    <w:rsid w:val="003719EA"/>
    <w:rsid w:val="00371A13"/>
    <w:rsid w:val="00376ADF"/>
    <w:rsid w:val="003776A6"/>
    <w:rsid w:val="0037771D"/>
    <w:rsid w:val="003830CD"/>
    <w:rsid w:val="00383866"/>
    <w:rsid w:val="0038450D"/>
    <w:rsid w:val="003851E5"/>
    <w:rsid w:val="00390D5D"/>
    <w:rsid w:val="003911B6"/>
    <w:rsid w:val="00391B4A"/>
    <w:rsid w:val="0039322E"/>
    <w:rsid w:val="00394646"/>
    <w:rsid w:val="003946D6"/>
    <w:rsid w:val="00396ADC"/>
    <w:rsid w:val="003A0DF2"/>
    <w:rsid w:val="003A3D2D"/>
    <w:rsid w:val="003A5BB6"/>
    <w:rsid w:val="003A7AE6"/>
    <w:rsid w:val="003B1954"/>
    <w:rsid w:val="003B3787"/>
    <w:rsid w:val="003B5512"/>
    <w:rsid w:val="003B5B93"/>
    <w:rsid w:val="003B74AE"/>
    <w:rsid w:val="003C0C7F"/>
    <w:rsid w:val="003C3442"/>
    <w:rsid w:val="003C46E0"/>
    <w:rsid w:val="003C4E84"/>
    <w:rsid w:val="003C642E"/>
    <w:rsid w:val="003C69BC"/>
    <w:rsid w:val="003C7D33"/>
    <w:rsid w:val="003D1EC2"/>
    <w:rsid w:val="003D345B"/>
    <w:rsid w:val="003D6694"/>
    <w:rsid w:val="003D7C87"/>
    <w:rsid w:val="003D7E42"/>
    <w:rsid w:val="003D91B2"/>
    <w:rsid w:val="003E187C"/>
    <w:rsid w:val="003E4DCA"/>
    <w:rsid w:val="003E5CA6"/>
    <w:rsid w:val="003F2F81"/>
    <w:rsid w:val="003F596D"/>
    <w:rsid w:val="003F7E82"/>
    <w:rsid w:val="00400548"/>
    <w:rsid w:val="004007BC"/>
    <w:rsid w:val="004039A0"/>
    <w:rsid w:val="00412273"/>
    <w:rsid w:val="00414523"/>
    <w:rsid w:val="0041485D"/>
    <w:rsid w:val="00416029"/>
    <w:rsid w:val="0041730F"/>
    <w:rsid w:val="00417B47"/>
    <w:rsid w:val="004247D4"/>
    <w:rsid w:val="004268A8"/>
    <w:rsid w:val="00426C8B"/>
    <w:rsid w:val="004309D0"/>
    <w:rsid w:val="0043173C"/>
    <w:rsid w:val="004320BE"/>
    <w:rsid w:val="00432D2F"/>
    <w:rsid w:val="00433005"/>
    <w:rsid w:val="00434E17"/>
    <w:rsid w:val="004362AA"/>
    <w:rsid w:val="00436CE5"/>
    <w:rsid w:val="00437BC2"/>
    <w:rsid w:val="004415B7"/>
    <w:rsid w:val="0044332F"/>
    <w:rsid w:val="004441D4"/>
    <w:rsid w:val="00444E53"/>
    <w:rsid w:val="00444E72"/>
    <w:rsid w:val="0044577B"/>
    <w:rsid w:val="00446C16"/>
    <w:rsid w:val="00446F67"/>
    <w:rsid w:val="00450CD6"/>
    <w:rsid w:val="00451129"/>
    <w:rsid w:val="004524C6"/>
    <w:rsid w:val="00453671"/>
    <w:rsid w:val="00455159"/>
    <w:rsid w:val="00457ABA"/>
    <w:rsid w:val="00457B63"/>
    <w:rsid w:val="00461088"/>
    <w:rsid w:val="00461D74"/>
    <w:rsid w:val="00463120"/>
    <w:rsid w:val="004631AF"/>
    <w:rsid w:val="004637E6"/>
    <w:rsid w:val="0046646E"/>
    <w:rsid w:val="00467DC6"/>
    <w:rsid w:val="00467EE8"/>
    <w:rsid w:val="0047096E"/>
    <w:rsid w:val="00473C08"/>
    <w:rsid w:val="00481032"/>
    <w:rsid w:val="00482968"/>
    <w:rsid w:val="00482E0F"/>
    <w:rsid w:val="00486C4C"/>
    <w:rsid w:val="00487E00"/>
    <w:rsid w:val="004916C1"/>
    <w:rsid w:val="0049448E"/>
    <w:rsid w:val="00494BFD"/>
    <w:rsid w:val="004953AA"/>
    <w:rsid w:val="00496E32"/>
    <w:rsid w:val="00497731"/>
    <w:rsid w:val="00497A4D"/>
    <w:rsid w:val="004A0F7B"/>
    <w:rsid w:val="004A2B75"/>
    <w:rsid w:val="004A2DBF"/>
    <w:rsid w:val="004A3825"/>
    <w:rsid w:val="004A3872"/>
    <w:rsid w:val="004A3BA8"/>
    <w:rsid w:val="004A42D2"/>
    <w:rsid w:val="004A4328"/>
    <w:rsid w:val="004A439D"/>
    <w:rsid w:val="004A47AB"/>
    <w:rsid w:val="004A618B"/>
    <w:rsid w:val="004A655C"/>
    <w:rsid w:val="004B168D"/>
    <w:rsid w:val="004B1D59"/>
    <w:rsid w:val="004B338F"/>
    <w:rsid w:val="004B5F37"/>
    <w:rsid w:val="004B7C1A"/>
    <w:rsid w:val="004C253C"/>
    <w:rsid w:val="004C77F5"/>
    <w:rsid w:val="004D0160"/>
    <w:rsid w:val="004D1880"/>
    <w:rsid w:val="004D1CDB"/>
    <w:rsid w:val="004D20DC"/>
    <w:rsid w:val="004D543A"/>
    <w:rsid w:val="004D5D40"/>
    <w:rsid w:val="004D6DD7"/>
    <w:rsid w:val="004D75D3"/>
    <w:rsid w:val="004D7E6B"/>
    <w:rsid w:val="004E1348"/>
    <w:rsid w:val="004E166A"/>
    <w:rsid w:val="004E1DF7"/>
    <w:rsid w:val="004E27BC"/>
    <w:rsid w:val="004E4767"/>
    <w:rsid w:val="004E4FE6"/>
    <w:rsid w:val="004E513E"/>
    <w:rsid w:val="004E6DB7"/>
    <w:rsid w:val="004E7737"/>
    <w:rsid w:val="004F0430"/>
    <w:rsid w:val="004F451B"/>
    <w:rsid w:val="00501E25"/>
    <w:rsid w:val="00502EAC"/>
    <w:rsid w:val="0050457E"/>
    <w:rsid w:val="00504B33"/>
    <w:rsid w:val="00505244"/>
    <w:rsid w:val="00505C2A"/>
    <w:rsid w:val="00507A07"/>
    <w:rsid w:val="005105CE"/>
    <w:rsid w:val="00510798"/>
    <w:rsid w:val="005109D7"/>
    <w:rsid w:val="00512006"/>
    <w:rsid w:val="005127DF"/>
    <w:rsid w:val="00512C37"/>
    <w:rsid w:val="00512E16"/>
    <w:rsid w:val="005140FD"/>
    <w:rsid w:val="00516984"/>
    <w:rsid w:val="00520C27"/>
    <w:rsid w:val="00520C71"/>
    <w:rsid w:val="00520D15"/>
    <w:rsid w:val="00522078"/>
    <w:rsid w:val="00522736"/>
    <w:rsid w:val="005239D7"/>
    <w:rsid w:val="00524410"/>
    <w:rsid w:val="00525D2B"/>
    <w:rsid w:val="00526EE3"/>
    <w:rsid w:val="00527B06"/>
    <w:rsid w:val="00530206"/>
    <w:rsid w:val="00531805"/>
    <w:rsid w:val="0053214C"/>
    <w:rsid w:val="005327BD"/>
    <w:rsid w:val="00534832"/>
    <w:rsid w:val="0053533C"/>
    <w:rsid w:val="005376E6"/>
    <w:rsid w:val="005434F5"/>
    <w:rsid w:val="00543755"/>
    <w:rsid w:val="0054463B"/>
    <w:rsid w:val="005471CF"/>
    <w:rsid w:val="0055093D"/>
    <w:rsid w:val="005525DD"/>
    <w:rsid w:val="0055373F"/>
    <w:rsid w:val="00555B4C"/>
    <w:rsid w:val="005600BC"/>
    <w:rsid w:val="005661A6"/>
    <w:rsid w:val="00567CB0"/>
    <w:rsid w:val="00570391"/>
    <w:rsid w:val="00571C5B"/>
    <w:rsid w:val="005725CE"/>
    <w:rsid w:val="005739E5"/>
    <w:rsid w:val="00574EAF"/>
    <w:rsid w:val="00581541"/>
    <w:rsid w:val="00581954"/>
    <w:rsid w:val="0058548C"/>
    <w:rsid w:val="005854A4"/>
    <w:rsid w:val="00592FC5"/>
    <w:rsid w:val="005A0DF5"/>
    <w:rsid w:val="005A2C8B"/>
    <w:rsid w:val="005A2E8D"/>
    <w:rsid w:val="005A3187"/>
    <w:rsid w:val="005A4EBB"/>
    <w:rsid w:val="005A4EFE"/>
    <w:rsid w:val="005A7E9E"/>
    <w:rsid w:val="005B04DE"/>
    <w:rsid w:val="005B4DF9"/>
    <w:rsid w:val="005B5747"/>
    <w:rsid w:val="005B5BED"/>
    <w:rsid w:val="005B6027"/>
    <w:rsid w:val="005B702B"/>
    <w:rsid w:val="005B70FC"/>
    <w:rsid w:val="005C1748"/>
    <w:rsid w:val="005C25C8"/>
    <w:rsid w:val="005C30D5"/>
    <w:rsid w:val="005C3E2B"/>
    <w:rsid w:val="005C4ADD"/>
    <w:rsid w:val="005C4DD3"/>
    <w:rsid w:val="005C6467"/>
    <w:rsid w:val="005C76F7"/>
    <w:rsid w:val="005C79BE"/>
    <w:rsid w:val="005D4111"/>
    <w:rsid w:val="005D64FB"/>
    <w:rsid w:val="005E2886"/>
    <w:rsid w:val="005E3131"/>
    <w:rsid w:val="005E6D43"/>
    <w:rsid w:val="005F040F"/>
    <w:rsid w:val="005F0434"/>
    <w:rsid w:val="005F0D93"/>
    <w:rsid w:val="005F3B00"/>
    <w:rsid w:val="005F5235"/>
    <w:rsid w:val="00603D9C"/>
    <w:rsid w:val="006041B1"/>
    <w:rsid w:val="006079B0"/>
    <w:rsid w:val="00612F79"/>
    <w:rsid w:val="006162B6"/>
    <w:rsid w:val="00616D65"/>
    <w:rsid w:val="0061766B"/>
    <w:rsid w:val="00624825"/>
    <w:rsid w:val="0062516D"/>
    <w:rsid w:val="00626832"/>
    <w:rsid w:val="006270FC"/>
    <w:rsid w:val="006308CD"/>
    <w:rsid w:val="006311B9"/>
    <w:rsid w:val="00633160"/>
    <w:rsid w:val="00633825"/>
    <w:rsid w:val="006341D0"/>
    <w:rsid w:val="0063490A"/>
    <w:rsid w:val="006436B5"/>
    <w:rsid w:val="006462DC"/>
    <w:rsid w:val="00646D20"/>
    <w:rsid w:val="006475F7"/>
    <w:rsid w:val="00647DC9"/>
    <w:rsid w:val="00650102"/>
    <w:rsid w:val="00652E6E"/>
    <w:rsid w:val="00653088"/>
    <w:rsid w:val="00656276"/>
    <w:rsid w:val="00657452"/>
    <w:rsid w:val="0066146F"/>
    <w:rsid w:val="00661980"/>
    <w:rsid w:val="0066463B"/>
    <w:rsid w:val="00664926"/>
    <w:rsid w:val="00664E63"/>
    <w:rsid w:val="0067008B"/>
    <w:rsid w:val="00671E0A"/>
    <w:rsid w:val="00674747"/>
    <w:rsid w:val="00675A13"/>
    <w:rsid w:val="0068286D"/>
    <w:rsid w:val="00684010"/>
    <w:rsid w:val="00684367"/>
    <w:rsid w:val="00690887"/>
    <w:rsid w:val="00691CC4"/>
    <w:rsid w:val="0069467F"/>
    <w:rsid w:val="0069768D"/>
    <w:rsid w:val="00697A6E"/>
    <w:rsid w:val="006A0542"/>
    <w:rsid w:val="006A06B4"/>
    <w:rsid w:val="006A1E75"/>
    <w:rsid w:val="006A2DA9"/>
    <w:rsid w:val="006A2E27"/>
    <w:rsid w:val="006A5939"/>
    <w:rsid w:val="006A674C"/>
    <w:rsid w:val="006A6E0B"/>
    <w:rsid w:val="006A720A"/>
    <w:rsid w:val="006B1F5D"/>
    <w:rsid w:val="006B5609"/>
    <w:rsid w:val="006B61E8"/>
    <w:rsid w:val="006C28C5"/>
    <w:rsid w:val="006C3C6A"/>
    <w:rsid w:val="006C4874"/>
    <w:rsid w:val="006C5022"/>
    <w:rsid w:val="006C51BE"/>
    <w:rsid w:val="006C73C3"/>
    <w:rsid w:val="006D2DA4"/>
    <w:rsid w:val="006D336E"/>
    <w:rsid w:val="006D3A82"/>
    <w:rsid w:val="006D43DF"/>
    <w:rsid w:val="006D554D"/>
    <w:rsid w:val="006E0C33"/>
    <w:rsid w:val="006E1405"/>
    <w:rsid w:val="006E21A3"/>
    <w:rsid w:val="006E44EE"/>
    <w:rsid w:val="006E672B"/>
    <w:rsid w:val="006E7B22"/>
    <w:rsid w:val="006E7C30"/>
    <w:rsid w:val="006F1FF3"/>
    <w:rsid w:val="006F5E35"/>
    <w:rsid w:val="006F7A32"/>
    <w:rsid w:val="00702372"/>
    <w:rsid w:val="007042CD"/>
    <w:rsid w:val="00705497"/>
    <w:rsid w:val="0070597F"/>
    <w:rsid w:val="00707EC5"/>
    <w:rsid w:val="00711E02"/>
    <w:rsid w:val="007165C1"/>
    <w:rsid w:val="00717953"/>
    <w:rsid w:val="00717A6F"/>
    <w:rsid w:val="0072145A"/>
    <w:rsid w:val="007214BB"/>
    <w:rsid w:val="007223DA"/>
    <w:rsid w:val="007257C5"/>
    <w:rsid w:val="00726844"/>
    <w:rsid w:val="0072696A"/>
    <w:rsid w:val="0073175B"/>
    <w:rsid w:val="007331E6"/>
    <w:rsid w:val="00733428"/>
    <w:rsid w:val="007335CB"/>
    <w:rsid w:val="00735C3A"/>
    <w:rsid w:val="00736AFB"/>
    <w:rsid w:val="0074410D"/>
    <w:rsid w:val="00747C9A"/>
    <w:rsid w:val="0075422B"/>
    <w:rsid w:val="00755015"/>
    <w:rsid w:val="00756D68"/>
    <w:rsid w:val="007621E3"/>
    <w:rsid w:val="00764114"/>
    <w:rsid w:val="00764128"/>
    <w:rsid w:val="00766C6F"/>
    <w:rsid w:val="00766F5F"/>
    <w:rsid w:val="00767CF1"/>
    <w:rsid w:val="0077162B"/>
    <w:rsid w:val="007779F7"/>
    <w:rsid w:val="00780183"/>
    <w:rsid w:val="007817C8"/>
    <w:rsid w:val="00784DD9"/>
    <w:rsid w:val="007867D6"/>
    <w:rsid w:val="00787C16"/>
    <w:rsid w:val="007920B0"/>
    <w:rsid w:val="00792E2D"/>
    <w:rsid w:val="0079515E"/>
    <w:rsid w:val="007960AA"/>
    <w:rsid w:val="00796644"/>
    <w:rsid w:val="007A6124"/>
    <w:rsid w:val="007A69D5"/>
    <w:rsid w:val="007A6ED0"/>
    <w:rsid w:val="007B1193"/>
    <w:rsid w:val="007B3291"/>
    <w:rsid w:val="007B46A7"/>
    <w:rsid w:val="007C12B2"/>
    <w:rsid w:val="007C13BD"/>
    <w:rsid w:val="007C2D6E"/>
    <w:rsid w:val="007C4FD8"/>
    <w:rsid w:val="007C66A7"/>
    <w:rsid w:val="007D06B7"/>
    <w:rsid w:val="007D1058"/>
    <w:rsid w:val="007D5CAD"/>
    <w:rsid w:val="007D6208"/>
    <w:rsid w:val="007D63E2"/>
    <w:rsid w:val="007D7D93"/>
    <w:rsid w:val="007E0993"/>
    <w:rsid w:val="007E270D"/>
    <w:rsid w:val="007E2C14"/>
    <w:rsid w:val="007E4C29"/>
    <w:rsid w:val="007E4CFC"/>
    <w:rsid w:val="007E792F"/>
    <w:rsid w:val="007E7EB5"/>
    <w:rsid w:val="007F035D"/>
    <w:rsid w:val="007F5A9A"/>
    <w:rsid w:val="00800253"/>
    <w:rsid w:val="00804FBA"/>
    <w:rsid w:val="00805441"/>
    <w:rsid w:val="00806269"/>
    <w:rsid w:val="008065F8"/>
    <w:rsid w:val="008068D0"/>
    <w:rsid w:val="008101C4"/>
    <w:rsid w:val="00811D04"/>
    <w:rsid w:val="00812D51"/>
    <w:rsid w:val="00814282"/>
    <w:rsid w:val="00814C1B"/>
    <w:rsid w:val="00815C79"/>
    <w:rsid w:val="008161E8"/>
    <w:rsid w:val="00816384"/>
    <w:rsid w:val="00821D72"/>
    <w:rsid w:val="00821E83"/>
    <w:rsid w:val="00822125"/>
    <w:rsid w:val="00823423"/>
    <w:rsid w:val="00825703"/>
    <w:rsid w:val="008310A8"/>
    <w:rsid w:val="0083516D"/>
    <w:rsid w:val="00835E11"/>
    <w:rsid w:val="00843785"/>
    <w:rsid w:val="00846313"/>
    <w:rsid w:val="00847848"/>
    <w:rsid w:val="008506C1"/>
    <w:rsid w:val="00850745"/>
    <w:rsid w:val="00850ADB"/>
    <w:rsid w:val="00852A5A"/>
    <w:rsid w:val="008539B2"/>
    <w:rsid w:val="008567E1"/>
    <w:rsid w:val="0086018D"/>
    <w:rsid w:val="0086044F"/>
    <w:rsid w:val="00862557"/>
    <w:rsid w:val="0086618B"/>
    <w:rsid w:val="00866499"/>
    <w:rsid w:val="00872AC6"/>
    <w:rsid w:val="00873EE4"/>
    <w:rsid w:val="00881EC3"/>
    <w:rsid w:val="008827C6"/>
    <w:rsid w:val="00885046"/>
    <w:rsid w:val="00890118"/>
    <w:rsid w:val="008944F9"/>
    <w:rsid w:val="008948A4"/>
    <w:rsid w:val="0089650D"/>
    <w:rsid w:val="008A47FD"/>
    <w:rsid w:val="008A629A"/>
    <w:rsid w:val="008B4806"/>
    <w:rsid w:val="008B4D83"/>
    <w:rsid w:val="008B5C3B"/>
    <w:rsid w:val="008B6A2F"/>
    <w:rsid w:val="008B6F3A"/>
    <w:rsid w:val="008B7A91"/>
    <w:rsid w:val="008B7FF0"/>
    <w:rsid w:val="008C33F8"/>
    <w:rsid w:val="008C458D"/>
    <w:rsid w:val="008D06C2"/>
    <w:rsid w:val="008D17D2"/>
    <w:rsid w:val="008D56CB"/>
    <w:rsid w:val="008D7011"/>
    <w:rsid w:val="008E090E"/>
    <w:rsid w:val="008E1239"/>
    <w:rsid w:val="008E14CE"/>
    <w:rsid w:val="008E26BF"/>
    <w:rsid w:val="008E3248"/>
    <w:rsid w:val="008E548C"/>
    <w:rsid w:val="008E636F"/>
    <w:rsid w:val="008E65A8"/>
    <w:rsid w:val="008F0019"/>
    <w:rsid w:val="008F16FC"/>
    <w:rsid w:val="008F2006"/>
    <w:rsid w:val="008F299E"/>
    <w:rsid w:val="008F312F"/>
    <w:rsid w:val="008F75E4"/>
    <w:rsid w:val="00900668"/>
    <w:rsid w:val="00901253"/>
    <w:rsid w:val="00907332"/>
    <w:rsid w:val="0092016A"/>
    <w:rsid w:val="00920B52"/>
    <w:rsid w:val="00922EBE"/>
    <w:rsid w:val="00924DDB"/>
    <w:rsid w:val="0093057B"/>
    <w:rsid w:val="0093100B"/>
    <w:rsid w:val="009316DF"/>
    <w:rsid w:val="00931B8D"/>
    <w:rsid w:val="0093206E"/>
    <w:rsid w:val="00932AA2"/>
    <w:rsid w:val="00937161"/>
    <w:rsid w:val="00941915"/>
    <w:rsid w:val="00941ABD"/>
    <w:rsid w:val="00941BB3"/>
    <w:rsid w:val="00942E4D"/>
    <w:rsid w:val="00942F4B"/>
    <w:rsid w:val="00945A8A"/>
    <w:rsid w:val="00946B11"/>
    <w:rsid w:val="00947280"/>
    <w:rsid w:val="00951319"/>
    <w:rsid w:val="0095216E"/>
    <w:rsid w:val="00953CC0"/>
    <w:rsid w:val="0095505F"/>
    <w:rsid w:val="0095586B"/>
    <w:rsid w:val="0095650E"/>
    <w:rsid w:val="0095745E"/>
    <w:rsid w:val="0095789B"/>
    <w:rsid w:val="00962102"/>
    <w:rsid w:val="009621F3"/>
    <w:rsid w:val="009643EA"/>
    <w:rsid w:val="00976826"/>
    <w:rsid w:val="009771FB"/>
    <w:rsid w:val="009773EB"/>
    <w:rsid w:val="0097E7C0"/>
    <w:rsid w:val="009818B0"/>
    <w:rsid w:val="00983E68"/>
    <w:rsid w:val="00984868"/>
    <w:rsid w:val="00987B90"/>
    <w:rsid w:val="00990CEE"/>
    <w:rsid w:val="0099275D"/>
    <w:rsid w:val="00996A9D"/>
    <w:rsid w:val="00996EF4"/>
    <w:rsid w:val="00996EF7"/>
    <w:rsid w:val="00996F26"/>
    <w:rsid w:val="009A362E"/>
    <w:rsid w:val="009A4753"/>
    <w:rsid w:val="009A6663"/>
    <w:rsid w:val="009B545A"/>
    <w:rsid w:val="009C4ABC"/>
    <w:rsid w:val="009C5579"/>
    <w:rsid w:val="009C69A9"/>
    <w:rsid w:val="009D1FF4"/>
    <w:rsid w:val="009D2065"/>
    <w:rsid w:val="009E1362"/>
    <w:rsid w:val="009E722E"/>
    <w:rsid w:val="009F39D9"/>
    <w:rsid w:val="009F3ED6"/>
    <w:rsid w:val="009F43B7"/>
    <w:rsid w:val="009F49DB"/>
    <w:rsid w:val="00A011F1"/>
    <w:rsid w:val="00A01D95"/>
    <w:rsid w:val="00A02263"/>
    <w:rsid w:val="00A02875"/>
    <w:rsid w:val="00A0310F"/>
    <w:rsid w:val="00A04E10"/>
    <w:rsid w:val="00A05783"/>
    <w:rsid w:val="00A06561"/>
    <w:rsid w:val="00A10654"/>
    <w:rsid w:val="00A10846"/>
    <w:rsid w:val="00A10EA2"/>
    <w:rsid w:val="00A1151C"/>
    <w:rsid w:val="00A12125"/>
    <w:rsid w:val="00A15154"/>
    <w:rsid w:val="00A15166"/>
    <w:rsid w:val="00A16461"/>
    <w:rsid w:val="00A16FEB"/>
    <w:rsid w:val="00A17BB6"/>
    <w:rsid w:val="00A2459B"/>
    <w:rsid w:val="00A27449"/>
    <w:rsid w:val="00A346A1"/>
    <w:rsid w:val="00A41823"/>
    <w:rsid w:val="00A442C8"/>
    <w:rsid w:val="00A44CFF"/>
    <w:rsid w:val="00A46E51"/>
    <w:rsid w:val="00A50370"/>
    <w:rsid w:val="00A5044B"/>
    <w:rsid w:val="00A5079C"/>
    <w:rsid w:val="00A5103D"/>
    <w:rsid w:val="00A510DB"/>
    <w:rsid w:val="00A5129A"/>
    <w:rsid w:val="00A51CB9"/>
    <w:rsid w:val="00A538F1"/>
    <w:rsid w:val="00A53B6B"/>
    <w:rsid w:val="00A57330"/>
    <w:rsid w:val="00A625A2"/>
    <w:rsid w:val="00A640EE"/>
    <w:rsid w:val="00A70543"/>
    <w:rsid w:val="00A811FF"/>
    <w:rsid w:val="00A81753"/>
    <w:rsid w:val="00A82F7D"/>
    <w:rsid w:val="00A83631"/>
    <w:rsid w:val="00A83BDC"/>
    <w:rsid w:val="00A83DC8"/>
    <w:rsid w:val="00A8738E"/>
    <w:rsid w:val="00A8741A"/>
    <w:rsid w:val="00A87481"/>
    <w:rsid w:val="00A92FCA"/>
    <w:rsid w:val="00A946DA"/>
    <w:rsid w:val="00A969FB"/>
    <w:rsid w:val="00A97CD8"/>
    <w:rsid w:val="00AA3BB2"/>
    <w:rsid w:val="00AA4E25"/>
    <w:rsid w:val="00AA63C2"/>
    <w:rsid w:val="00AB2FDE"/>
    <w:rsid w:val="00AB3305"/>
    <w:rsid w:val="00AB3B65"/>
    <w:rsid w:val="00AB7998"/>
    <w:rsid w:val="00AC1EF7"/>
    <w:rsid w:val="00AC4BA1"/>
    <w:rsid w:val="00AC561F"/>
    <w:rsid w:val="00AC7864"/>
    <w:rsid w:val="00AD0CD2"/>
    <w:rsid w:val="00AD11F8"/>
    <w:rsid w:val="00AD189A"/>
    <w:rsid w:val="00AD1E21"/>
    <w:rsid w:val="00AD20E2"/>
    <w:rsid w:val="00AD2BAD"/>
    <w:rsid w:val="00AD42F0"/>
    <w:rsid w:val="00AD69E8"/>
    <w:rsid w:val="00AD7083"/>
    <w:rsid w:val="00AE1590"/>
    <w:rsid w:val="00AF21E0"/>
    <w:rsid w:val="00AF415C"/>
    <w:rsid w:val="00AF7DF3"/>
    <w:rsid w:val="00B003F2"/>
    <w:rsid w:val="00B02099"/>
    <w:rsid w:val="00B02D14"/>
    <w:rsid w:val="00B04A85"/>
    <w:rsid w:val="00B11FC4"/>
    <w:rsid w:val="00B12042"/>
    <w:rsid w:val="00B14521"/>
    <w:rsid w:val="00B14A38"/>
    <w:rsid w:val="00B16FFF"/>
    <w:rsid w:val="00B21348"/>
    <w:rsid w:val="00B24440"/>
    <w:rsid w:val="00B24666"/>
    <w:rsid w:val="00B24C7F"/>
    <w:rsid w:val="00B25060"/>
    <w:rsid w:val="00B2527A"/>
    <w:rsid w:val="00B26914"/>
    <w:rsid w:val="00B26E0C"/>
    <w:rsid w:val="00B31FB5"/>
    <w:rsid w:val="00B32F8A"/>
    <w:rsid w:val="00B355DF"/>
    <w:rsid w:val="00B37434"/>
    <w:rsid w:val="00B416C4"/>
    <w:rsid w:val="00B41881"/>
    <w:rsid w:val="00B5003A"/>
    <w:rsid w:val="00B545F1"/>
    <w:rsid w:val="00B5706D"/>
    <w:rsid w:val="00B577EA"/>
    <w:rsid w:val="00B605B9"/>
    <w:rsid w:val="00B6195E"/>
    <w:rsid w:val="00B6399E"/>
    <w:rsid w:val="00B71185"/>
    <w:rsid w:val="00B73B12"/>
    <w:rsid w:val="00B74922"/>
    <w:rsid w:val="00B7528B"/>
    <w:rsid w:val="00B75FA7"/>
    <w:rsid w:val="00B80A64"/>
    <w:rsid w:val="00B82571"/>
    <w:rsid w:val="00B830C1"/>
    <w:rsid w:val="00B83C30"/>
    <w:rsid w:val="00B8660C"/>
    <w:rsid w:val="00B87BCB"/>
    <w:rsid w:val="00B92817"/>
    <w:rsid w:val="00B931D3"/>
    <w:rsid w:val="00B976F1"/>
    <w:rsid w:val="00BA134B"/>
    <w:rsid w:val="00BA1F3B"/>
    <w:rsid w:val="00BB074E"/>
    <w:rsid w:val="00BB26B5"/>
    <w:rsid w:val="00BB43E2"/>
    <w:rsid w:val="00BB443E"/>
    <w:rsid w:val="00BB6327"/>
    <w:rsid w:val="00BB7C05"/>
    <w:rsid w:val="00BC02F0"/>
    <w:rsid w:val="00BC316F"/>
    <w:rsid w:val="00BC3CB2"/>
    <w:rsid w:val="00BC502D"/>
    <w:rsid w:val="00BC77D4"/>
    <w:rsid w:val="00BD040A"/>
    <w:rsid w:val="00BD3B56"/>
    <w:rsid w:val="00BD5510"/>
    <w:rsid w:val="00BD5A42"/>
    <w:rsid w:val="00BD720F"/>
    <w:rsid w:val="00BD7C3E"/>
    <w:rsid w:val="00BE13DB"/>
    <w:rsid w:val="00BE25FB"/>
    <w:rsid w:val="00BE26C1"/>
    <w:rsid w:val="00BE5AB8"/>
    <w:rsid w:val="00BE7DE5"/>
    <w:rsid w:val="00BF09C2"/>
    <w:rsid w:val="00BF21F4"/>
    <w:rsid w:val="00BF416B"/>
    <w:rsid w:val="00BF43AB"/>
    <w:rsid w:val="00BF57C1"/>
    <w:rsid w:val="00C00A39"/>
    <w:rsid w:val="00C00D61"/>
    <w:rsid w:val="00C03B7F"/>
    <w:rsid w:val="00C055DD"/>
    <w:rsid w:val="00C068B5"/>
    <w:rsid w:val="00C06B14"/>
    <w:rsid w:val="00C07E1F"/>
    <w:rsid w:val="00C103A0"/>
    <w:rsid w:val="00C106F6"/>
    <w:rsid w:val="00C10AD8"/>
    <w:rsid w:val="00C121DF"/>
    <w:rsid w:val="00C1365E"/>
    <w:rsid w:val="00C14F2B"/>
    <w:rsid w:val="00C16663"/>
    <w:rsid w:val="00C17117"/>
    <w:rsid w:val="00C2021D"/>
    <w:rsid w:val="00C209B7"/>
    <w:rsid w:val="00C2128E"/>
    <w:rsid w:val="00C2427E"/>
    <w:rsid w:val="00C2652B"/>
    <w:rsid w:val="00C26786"/>
    <w:rsid w:val="00C366A3"/>
    <w:rsid w:val="00C36E82"/>
    <w:rsid w:val="00C4008C"/>
    <w:rsid w:val="00C434BE"/>
    <w:rsid w:val="00C43E3A"/>
    <w:rsid w:val="00C45116"/>
    <w:rsid w:val="00C4540A"/>
    <w:rsid w:val="00C4574F"/>
    <w:rsid w:val="00C46B31"/>
    <w:rsid w:val="00C4703C"/>
    <w:rsid w:val="00C472E4"/>
    <w:rsid w:val="00C47779"/>
    <w:rsid w:val="00C5134E"/>
    <w:rsid w:val="00C56A22"/>
    <w:rsid w:val="00C621F1"/>
    <w:rsid w:val="00C63EE3"/>
    <w:rsid w:val="00C6455D"/>
    <w:rsid w:val="00C658CE"/>
    <w:rsid w:val="00C66C90"/>
    <w:rsid w:val="00C70627"/>
    <w:rsid w:val="00C70BA8"/>
    <w:rsid w:val="00C70F83"/>
    <w:rsid w:val="00C712D5"/>
    <w:rsid w:val="00C72583"/>
    <w:rsid w:val="00C73817"/>
    <w:rsid w:val="00C74A7A"/>
    <w:rsid w:val="00C74C04"/>
    <w:rsid w:val="00C75FC5"/>
    <w:rsid w:val="00C80EAD"/>
    <w:rsid w:val="00C87F61"/>
    <w:rsid w:val="00C90DFE"/>
    <w:rsid w:val="00C9131A"/>
    <w:rsid w:val="00C91EAA"/>
    <w:rsid w:val="00C9585C"/>
    <w:rsid w:val="00C95B99"/>
    <w:rsid w:val="00CA0057"/>
    <w:rsid w:val="00CA043A"/>
    <w:rsid w:val="00CA0B77"/>
    <w:rsid w:val="00CA14D2"/>
    <w:rsid w:val="00CA156D"/>
    <w:rsid w:val="00CA1928"/>
    <w:rsid w:val="00CA36C0"/>
    <w:rsid w:val="00CA5082"/>
    <w:rsid w:val="00CA53B7"/>
    <w:rsid w:val="00CA593E"/>
    <w:rsid w:val="00CA6A06"/>
    <w:rsid w:val="00CA7212"/>
    <w:rsid w:val="00CA721A"/>
    <w:rsid w:val="00CB0492"/>
    <w:rsid w:val="00CB380C"/>
    <w:rsid w:val="00CB4E1F"/>
    <w:rsid w:val="00CB711D"/>
    <w:rsid w:val="00CB7AB0"/>
    <w:rsid w:val="00CC1E00"/>
    <w:rsid w:val="00CC5FBE"/>
    <w:rsid w:val="00CC611F"/>
    <w:rsid w:val="00CC6611"/>
    <w:rsid w:val="00CC73A9"/>
    <w:rsid w:val="00CD0DE7"/>
    <w:rsid w:val="00CD77FC"/>
    <w:rsid w:val="00CD7BEC"/>
    <w:rsid w:val="00CE077E"/>
    <w:rsid w:val="00CE451F"/>
    <w:rsid w:val="00CE77B2"/>
    <w:rsid w:val="00CF19EF"/>
    <w:rsid w:val="00CF458C"/>
    <w:rsid w:val="00D00159"/>
    <w:rsid w:val="00D001DE"/>
    <w:rsid w:val="00D00A45"/>
    <w:rsid w:val="00D03304"/>
    <w:rsid w:val="00D03A45"/>
    <w:rsid w:val="00D04F0A"/>
    <w:rsid w:val="00D05801"/>
    <w:rsid w:val="00D07377"/>
    <w:rsid w:val="00D079C3"/>
    <w:rsid w:val="00D1226E"/>
    <w:rsid w:val="00D15A4B"/>
    <w:rsid w:val="00D1654C"/>
    <w:rsid w:val="00D219BC"/>
    <w:rsid w:val="00D2215E"/>
    <w:rsid w:val="00D23331"/>
    <w:rsid w:val="00D26A48"/>
    <w:rsid w:val="00D2726C"/>
    <w:rsid w:val="00D334DB"/>
    <w:rsid w:val="00D346E9"/>
    <w:rsid w:val="00D34DB0"/>
    <w:rsid w:val="00D40304"/>
    <w:rsid w:val="00D405B2"/>
    <w:rsid w:val="00D411B0"/>
    <w:rsid w:val="00D41765"/>
    <w:rsid w:val="00D41AE5"/>
    <w:rsid w:val="00D43B94"/>
    <w:rsid w:val="00D45331"/>
    <w:rsid w:val="00D45B6E"/>
    <w:rsid w:val="00D45E8F"/>
    <w:rsid w:val="00D46FD7"/>
    <w:rsid w:val="00D507B1"/>
    <w:rsid w:val="00D53335"/>
    <w:rsid w:val="00D53460"/>
    <w:rsid w:val="00D53CE8"/>
    <w:rsid w:val="00D61D0D"/>
    <w:rsid w:val="00D62BDC"/>
    <w:rsid w:val="00D630BF"/>
    <w:rsid w:val="00D65E3D"/>
    <w:rsid w:val="00D7295E"/>
    <w:rsid w:val="00D75068"/>
    <w:rsid w:val="00D76904"/>
    <w:rsid w:val="00D76E48"/>
    <w:rsid w:val="00D77FE5"/>
    <w:rsid w:val="00D81846"/>
    <w:rsid w:val="00D84B31"/>
    <w:rsid w:val="00D90019"/>
    <w:rsid w:val="00D93420"/>
    <w:rsid w:val="00D93B6B"/>
    <w:rsid w:val="00D945C7"/>
    <w:rsid w:val="00D970CD"/>
    <w:rsid w:val="00D9715E"/>
    <w:rsid w:val="00DA0092"/>
    <w:rsid w:val="00DA07EB"/>
    <w:rsid w:val="00DA532E"/>
    <w:rsid w:val="00DA63A2"/>
    <w:rsid w:val="00DB326E"/>
    <w:rsid w:val="00DB3B9F"/>
    <w:rsid w:val="00DB3BD7"/>
    <w:rsid w:val="00DB5FBA"/>
    <w:rsid w:val="00DB6C09"/>
    <w:rsid w:val="00DB6F44"/>
    <w:rsid w:val="00DB7D86"/>
    <w:rsid w:val="00DC208D"/>
    <w:rsid w:val="00DC43C1"/>
    <w:rsid w:val="00DC52BE"/>
    <w:rsid w:val="00DC69E4"/>
    <w:rsid w:val="00DCABDE"/>
    <w:rsid w:val="00DD4E12"/>
    <w:rsid w:val="00DD6497"/>
    <w:rsid w:val="00DE0EDD"/>
    <w:rsid w:val="00DE2C2A"/>
    <w:rsid w:val="00DE6D5C"/>
    <w:rsid w:val="00DE705F"/>
    <w:rsid w:val="00DF06A1"/>
    <w:rsid w:val="00DF1882"/>
    <w:rsid w:val="00DF4134"/>
    <w:rsid w:val="00DF4492"/>
    <w:rsid w:val="00DF5DAA"/>
    <w:rsid w:val="00E00A01"/>
    <w:rsid w:val="00E00FDC"/>
    <w:rsid w:val="00E01D98"/>
    <w:rsid w:val="00E03214"/>
    <w:rsid w:val="00E0458F"/>
    <w:rsid w:val="00E04EBD"/>
    <w:rsid w:val="00E06A99"/>
    <w:rsid w:val="00E1032E"/>
    <w:rsid w:val="00E1183A"/>
    <w:rsid w:val="00E273E2"/>
    <w:rsid w:val="00E27E7A"/>
    <w:rsid w:val="00E300C3"/>
    <w:rsid w:val="00E309BD"/>
    <w:rsid w:val="00E329CB"/>
    <w:rsid w:val="00E337EC"/>
    <w:rsid w:val="00E33E0B"/>
    <w:rsid w:val="00E348F6"/>
    <w:rsid w:val="00E356A2"/>
    <w:rsid w:val="00E440C5"/>
    <w:rsid w:val="00E448D4"/>
    <w:rsid w:val="00E45B7D"/>
    <w:rsid w:val="00E50C2F"/>
    <w:rsid w:val="00E52569"/>
    <w:rsid w:val="00E52B04"/>
    <w:rsid w:val="00E56289"/>
    <w:rsid w:val="00E5710C"/>
    <w:rsid w:val="00E57F7F"/>
    <w:rsid w:val="00E63BB0"/>
    <w:rsid w:val="00E67026"/>
    <w:rsid w:val="00E73074"/>
    <w:rsid w:val="00E749EB"/>
    <w:rsid w:val="00E75193"/>
    <w:rsid w:val="00E75F4E"/>
    <w:rsid w:val="00E76988"/>
    <w:rsid w:val="00E800D6"/>
    <w:rsid w:val="00E8163A"/>
    <w:rsid w:val="00E8693F"/>
    <w:rsid w:val="00E86C61"/>
    <w:rsid w:val="00E87525"/>
    <w:rsid w:val="00E877EC"/>
    <w:rsid w:val="00E87DA0"/>
    <w:rsid w:val="00E90FB7"/>
    <w:rsid w:val="00E92C6D"/>
    <w:rsid w:val="00E9580D"/>
    <w:rsid w:val="00E974BA"/>
    <w:rsid w:val="00E976A8"/>
    <w:rsid w:val="00EA1110"/>
    <w:rsid w:val="00EA4E84"/>
    <w:rsid w:val="00EB1414"/>
    <w:rsid w:val="00EB405B"/>
    <w:rsid w:val="00EC086B"/>
    <w:rsid w:val="00EC406C"/>
    <w:rsid w:val="00EC4A3B"/>
    <w:rsid w:val="00EC56E8"/>
    <w:rsid w:val="00EC5ADB"/>
    <w:rsid w:val="00EC6991"/>
    <w:rsid w:val="00EC7220"/>
    <w:rsid w:val="00ED18C8"/>
    <w:rsid w:val="00ED2421"/>
    <w:rsid w:val="00ED55EF"/>
    <w:rsid w:val="00ED5621"/>
    <w:rsid w:val="00ED5F2E"/>
    <w:rsid w:val="00ED6929"/>
    <w:rsid w:val="00EE01B2"/>
    <w:rsid w:val="00EE052C"/>
    <w:rsid w:val="00EE30B6"/>
    <w:rsid w:val="00EF18C7"/>
    <w:rsid w:val="00EF1AF0"/>
    <w:rsid w:val="00EF1BC4"/>
    <w:rsid w:val="00EF1BE1"/>
    <w:rsid w:val="00EF1EFD"/>
    <w:rsid w:val="00EF2981"/>
    <w:rsid w:val="00EF2C2F"/>
    <w:rsid w:val="00EF507A"/>
    <w:rsid w:val="00F01AC3"/>
    <w:rsid w:val="00F021B2"/>
    <w:rsid w:val="00F02D9A"/>
    <w:rsid w:val="00F03909"/>
    <w:rsid w:val="00F03FE7"/>
    <w:rsid w:val="00F05EEA"/>
    <w:rsid w:val="00F12E9C"/>
    <w:rsid w:val="00F14315"/>
    <w:rsid w:val="00F1577F"/>
    <w:rsid w:val="00F16FEC"/>
    <w:rsid w:val="00F21B11"/>
    <w:rsid w:val="00F2254C"/>
    <w:rsid w:val="00F22964"/>
    <w:rsid w:val="00F26074"/>
    <w:rsid w:val="00F26B42"/>
    <w:rsid w:val="00F26CF1"/>
    <w:rsid w:val="00F321FE"/>
    <w:rsid w:val="00F34B6E"/>
    <w:rsid w:val="00F405CE"/>
    <w:rsid w:val="00F4113F"/>
    <w:rsid w:val="00F42459"/>
    <w:rsid w:val="00F42B8D"/>
    <w:rsid w:val="00F46B48"/>
    <w:rsid w:val="00F47A87"/>
    <w:rsid w:val="00F54A9E"/>
    <w:rsid w:val="00F54B86"/>
    <w:rsid w:val="00F606B5"/>
    <w:rsid w:val="00F63FCB"/>
    <w:rsid w:val="00F64A6D"/>
    <w:rsid w:val="00F651CE"/>
    <w:rsid w:val="00F66D01"/>
    <w:rsid w:val="00F67883"/>
    <w:rsid w:val="00F76A46"/>
    <w:rsid w:val="00F80914"/>
    <w:rsid w:val="00F81495"/>
    <w:rsid w:val="00F819CE"/>
    <w:rsid w:val="00F824F0"/>
    <w:rsid w:val="00F82823"/>
    <w:rsid w:val="00F85A7A"/>
    <w:rsid w:val="00F94186"/>
    <w:rsid w:val="00F972C4"/>
    <w:rsid w:val="00FA20F3"/>
    <w:rsid w:val="00FA4241"/>
    <w:rsid w:val="00FA723D"/>
    <w:rsid w:val="00FA780D"/>
    <w:rsid w:val="00FB11D0"/>
    <w:rsid w:val="00FB3D9E"/>
    <w:rsid w:val="00FB483D"/>
    <w:rsid w:val="00FB4D9D"/>
    <w:rsid w:val="00FB62E0"/>
    <w:rsid w:val="00FB69AA"/>
    <w:rsid w:val="00FC0522"/>
    <w:rsid w:val="00FC0A30"/>
    <w:rsid w:val="00FC0E7D"/>
    <w:rsid w:val="00FC354B"/>
    <w:rsid w:val="00FC44E9"/>
    <w:rsid w:val="00FC4D7A"/>
    <w:rsid w:val="00FC5BAE"/>
    <w:rsid w:val="00FC7517"/>
    <w:rsid w:val="00FD0049"/>
    <w:rsid w:val="00FD0EEB"/>
    <w:rsid w:val="00FD2B7A"/>
    <w:rsid w:val="00FD2FB1"/>
    <w:rsid w:val="00FD4E1E"/>
    <w:rsid w:val="00FD589E"/>
    <w:rsid w:val="00FD6992"/>
    <w:rsid w:val="00FE10FB"/>
    <w:rsid w:val="00FE1AC8"/>
    <w:rsid w:val="00FE464E"/>
    <w:rsid w:val="00FE4F3E"/>
    <w:rsid w:val="00FE7324"/>
    <w:rsid w:val="00FE7C8D"/>
    <w:rsid w:val="00FF2AF0"/>
    <w:rsid w:val="00FF45BE"/>
    <w:rsid w:val="00FF7AEC"/>
    <w:rsid w:val="019829CA"/>
    <w:rsid w:val="01DD20B9"/>
    <w:rsid w:val="021C1D69"/>
    <w:rsid w:val="02683795"/>
    <w:rsid w:val="0278EB7E"/>
    <w:rsid w:val="02E34D73"/>
    <w:rsid w:val="03094C2B"/>
    <w:rsid w:val="031F879C"/>
    <w:rsid w:val="03A1C0B7"/>
    <w:rsid w:val="03C889B8"/>
    <w:rsid w:val="04304121"/>
    <w:rsid w:val="0497B951"/>
    <w:rsid w:val="04EEB465"/>
    <w:rsid w:val="05097AF1"/>
    <w:rsid w:val="0587EF74"/>
    <w:rsid w:val="05A74CAE"/>
    <w:rsid w:val="060CE524"/>
    <w:rsid w:val="06417217"/>
    <w:rsid w:val="064F41C5"/>
    <w:rsid w:val="066A7485"/>
    <w:rsid w:val="071C8C0E"/>
    <w:rsid w:val="0914569E"/>
    <w:rsid w:val="0985E56D"/>
    <w:rsid w:val="09BC1FF7"/>
    <w:rsid w:val="09C55849"/>
    <w:rsid w:val="09D56430"/>
    <w:rsid w:val="0A0A4F38"/>
    <w:rsid w:val="0A17C0D1"/>
    <w:rsid w:val="0AF58D2D"/>
    <w:rsid w:val="0B070F55"/>
    <w:rsid w:val="0B8C4F3A"/>
    <w:rsid w:val="0B8CB9D3"/>
    <w:rsid w:val="0C1E2F95"/>
    <w:rsid w:val="0C55E7BC"/>
    <w:rsid w:val="0CF1A6EE"/>
    <w:rsid w:val="0D7610B9"/>
    <w:rsid w:val="0DE79F88"/>
    <w:rsid w:val="0E0D3D5F"/>
    <w:rsid w:val="0E495541"/>
    <w:rsid w:val="0E69FAEA"/>
    <w:rsid w:val="0F3D3F72"/>
    <w:rsid w:val="0F5FC0B3"/>
    <w:rsid w:val="10063A8A"/>
    <w:rsid w:val="115C0D45"/>
    <w:rsid w:val="1175B961"/>
    <w:rsid w:val="1211D44D"/>
    <w:rsid w:val="12D07A62"/>
    <w:rsid w:val="14F4CC48"/>
    <w:rsid w:val="1598C118"/>
    <w:rsid w:val="15B67716"/>
    <w:rsid w:val="15D2881A"/>
    <w:rsid w:val="15ED8769"/>
    <w:rsid w:val="16C580C4"/>
    <w:rsid w:val="16D5F24D"/>
    <w:rsid w:val="172C8BE1"/>
    <w:rsid w:val="177FA4D7"/>
    <w:rsid w:val="178CB0CE"/>
    <w:rsid w:val="17E0E464"/>
    <w:rsid w:val="189ACB27"/>
    <w:rsid w:val="18C78761"/>
    <w:rsid w:val="18D511F0"/>
    <w:rsid w:val="19565392"/>
    <w:rsid w:val="1A51F286"/>
    <w:rsid w:val="1A5CB31D"/>
    <w:rsid w:val="1AAEE8D4"/>
    <w:rsid w:val="1B8CB530"/>
    <w:rsid w:val="1B9A26C9"/>
    <w:rsid w:val="1BC1D309"/>
    <w:rsid w:val="1C13D5EF"/>
    <w:rsid w:val="1C3B4F5E"/>
    <w:rsid w:val="1C6DD0F3"/>
    <w:rsid w:val="1C951791"/>
    <w:rsid w:val="1CCA8E7E"/>
    <w:rsid w:val="1DD2071A"/>
    <w:rsid w:val="1E6EAB1A"/>
    <w:rsid w:val="1E75989F"/>
    <w:rsid w:val="1F35DB24"/>
    <w:rsid w:val="1F62D8A6"/>
    <w:rsid w:val="20217EBB"/>
    <w:rsid w:val="20A28D8C"/>
    <w:rsid w:val="213E74C7"/>
    <w:rsid w:val="22327553"/>
    <w:rsid w:val="234724F5"/>
    <w:rsid w:val="2416FB49"/>
    <w:rsid w:val="2426890A"/>
    <w:rsid w:val="252F36C0"/>
    <w:rsid w:val="25697E9D"/>
    <w:rsid w:val="25CB3456"/>
    <w:rsid w:val="25CB6727"/>
    <w:rsid w:val="262CEA0F"/>
    <w:rsid w:val="2635637A"/>
    <w:rsid w:val="266CE8D0"/>
    <w:rsid w:val="27825728"/>
    <w:rsid w:val="27884C70"/>
    <w:rsid w:val="290E590B"/>
    <w:rsid w:val="291EFC6A"/>
    <w:rsid w:val="2A525977"/>
    <w:rsid w:val="2ADBE1B3"/>
    <w:rsid w:val="2C10CB6A"/>
    <w:rsid w:val="2C96A37A"/>
    <w:rsid w:val="2CD7FB74"/>
    <w:rsid w:val="2D966EB8"/>
    <w:rsid w:val="2E82124F"/>
    <w:rsid w:val="2F2B817E"/>
    <w:rsid w:val="2F701E5E"/>
    <w:rsid w:val="2F70459C"/>
    <w:rsid w:val="2F9D431E"/>
    <w:rsid w:val="2FE9F4C2"/>
    <w:rsid w:val="305BB662"/>
    <w:rsid w:val="305BE933"/>
    <w:rsid w:val="30667107"/>
    <w:rsid w:val="312E0A5E"/>
    <w:rsid w:val="3139E860"/>
    <w:rsid w:val="32778EDD"/>
    <w:rsid w:val="3309049F"/>
    <w:rsid w:val="331851D0"/>
    <w:rsid w:val="3416F6A6"/>
    <w:rsid w:val="345165C1"/>
    <w:rsid w:val="348BAD9E"/>
    <w:rsid w:val="34C4E7D7"/>
    <w:rsid w:val="35131258"/>
    <w:rsid w:val="369B9692"/>
    <w:rsid w:val="37466D74"/>
    <w:rsid w:val="3765F95D"/>
    <w:rsid w:val="37B6FA32"/>
    <w:rsid w:val="37D4EDDE"/>
    <w:rsid w:val="37EA076E"/>
    <w:rsid w:val="37ECE74B"/>
    <w:rsid w:val="38BA6465"/>
    <w:rsid w:val="38F7E3FA"/>
    <w:rsid w:val="38FF9EAF"/>
    <w:rsid w:val="39898C8D"/>
    <w:rsid w:val="3A387FCF"/>
    <w:rsid w:val="3A74B9F8"/>
    <w:rsid w:val="3AB22EF5"/>
    <w:rsid w:val="3AEE037C"/>
    <w:rsid w:val="3B167EFC"/>
    <w:rsid w:val="3B1B055F"/>
    <w:rsid w:val="3BD4BF6F"/>
    <w:rsid w:val="3C31E29C"/>
    <w:rsid w:val="3C902CD1"/>
    <w:rsid w:val="3CC09695"/>
    <w:rsid w:val="3CFD94A8"/>
    <w:rsid w:val="3DA44150"/>
    <w:rsid w:val="3DB38E81"/>
    <w:rsid w:val="3DE8FF7C"/>
    <w:rsid w:val="3E4DF47A"/>
    <w:rsid w:val="3E82407D"/>
    <w:rsid w:val="3F65EBF6"/>
    <w:rsid w:val="3F8D6565"/>
    <w:rsid w:val="401CA485"/>
    <w:rsid w:val="409620DA"/>
    <w:rsid w:val="41316E02"/>
    <w:rsid w:val="4199BDDE"/>
    <w:rsid w:val="42B4EEAD"/>
    <w:rsid w:val="43313821"/>
    <w:rsid w:val="435B6884"/>
    <w:rsid w:val="43D0524D"/>
    <w:rsid w:val="4428E59E"/>
    <w:rsid w:val="44D4E7AA"/>
    <w:rsid w:val="44E88DC4"/>
    <w:rsid w:val="45250B48"/>
    <w:rsid w:val="4602FFDD"/>
    <w:rsid w:val="46AC8BA2"/>
    <w:rsid w:val="473C13CE"/>
    <w:rsid w:val="47A063D5"/>
    <w:rsid w:val="485B39BF"/>
    <w:rsid w:val="4912C289"/>
    <w:rsid w:val="491A447B"/>
    <w:rsid w:val="491D4A5D"/>
    <w:rsid w:val="4A7DA4EC"/>
    <w:rsid w:val="4A89AED2"/>
    <w:rsid w:val="4AD7D953"/>
    <w:rsid w:val="4ADA6277"/>
    <w:rsid w:val="4AEC996D"/>
    <w:rsid w:val="4B315D8B"/>
    <w:rsid w:val="4D083F17"/>
    <w:rsid w:val="4D73ED42"/>
    <w:rsid w:val="4DC9A7B3"/>
    <w:rsid w:val="4DCC74D2"/>
    <w:rsid w:val="4DF6A535"/>
    <w:rsid w:val="4EA7D9B1"/>
    <w:rsid w:val="4EBCAAF5"/>
    <w:rsid w:val="4EEC9DCF"/>
    <w:rsid w:val="4F4E5388"/>
    <w:rsid w:val="50BBECDF"/>
    <w:rsid w:val="50DB78C8"/>
    <w:rsid w:val="50FDBBA5"/>
    <w:rsid w:val="5118AA6A"/>
    <w:rsid w:val="5181BFCE"/>
    <w:rsid w:val="5199B93B"/>
    <w:rsid w:val="5230E5E1"/>
    <w:rsid w:val="527D9785"/>
    <w:rsid w:val="53ADCC69"/>
    <w:rsid w:val="53CD8B23"/>
    <w:rsid w:val="54B1696D"/>
    <w:rsid w:val="5518AECC"/>
    <w:rsid w:val="551D7429"/>
    <w:rsid w:val="555FDB62"/>
    <w:rsid w:val="55772BD2"/>
    <w:rsid w:val="55922B21"/>
    <w:rsid w:val="55C3EE00"/>
    <w:rsid w:val="55C9A4E4"/>
    <w:rsid w:val="55EEC073"/>
    <w:rsid w:val="566A67D7"/>
    <w:rsid w:val="57A37BC8"/>
    <w:rsid w:val="58003953"/>
    <w:rsid w:val="5884704D"/>
    <w:rsid w:val="5942E391"/>
    <w:rsid w:val="5965266E"/>
    <w:rsid w:val="59664F6C"/>
    <w:rsid w:val="5A2E5457"/>
    <w:rsid w:val="5A98837B"/>
    <w:rsid w:val="5A99AEA5"/>
    <w:rsid w:val="5B7682A8"/>
    <w:rsid w:val="5BFB2206"/>
    <w:rsid w:val="5C34F5EC"/>
    <w:rsid w:val="5DF6D363"/>
    <w:rsid w:val="5E13922D"/>
    <w:rsid w:val="5E8B0AB1"/>
    <w:rsid w:val="5EC5528E"/>
    <w:rsid w:val="5ECA17EB"/>
    <w:rsid w:val="5EEF82F1"/>
    <w:rsid w:val="5F270847"/>
    <w:rsid w:val="5F793DFE"/>
    <w:rsid w:val="5FFA7FA0"/>
    <w:rsid w:val="604FAAAF"/>
    <w:rsid w:val="605F2AB1"/>
    <w:rsid w:val="607AE6E1"/>
    <w:rsid w:val="60E5AD0B"/>
    <w:rsid w:val="6100DF2B"/>
    <w:rsid w:val="61B764E9"/>
    <w:rsid w:val="626106E9"/>
    <w:rsid w:val="62B52220"/>
    <w:rsid w:val="62B801FD"/>
    <w:rsid w:val="6382000D"/>
    <w:rsid w:val="63A372C3"/>
    <w:rsid w:val="653F3D32"/>
    <w:rsid w:val="655CD6CF"/>
    <w:rsid w:val="65DA0732"/>
    <w:rsid w:val="660704B4"/>
    <w:rsid w:val="6680B3DA"/>
    <w:rsid w:val="66AD7E8B"/>
    <w:rsid w:val="66F242A9"/>
    <w:rsid w:val="66F8A730"/>
    <w:rsid w:val="682A6513"/>
    <w:rsid w:val="683AA3CB"/>
    <w:rsid w:val="68947791"/>
    <w:rsid w:val="68CC198D"/>
    <w:rsid w:val="68F9170F"/>
    <w:rsid w:val="6965549C"/>
    <w:rsid w:val="69DF03C2"/>
    <w:rsid w:val="6A707984"/>
    <w:rsid w:val="6BBE2BE8"/>
    <w:rsid w:val="6BCDABEA"/>
    <w:rsid w:val="6BD362CE"/>
    <w:rsid w:val="6C64D890"/>
    <w:rsid w:val="6CA31C7C"/>
    <w:rsid w:val="6CB42482"/>
    <w:rsid w:val="6CD98F88"/>
    <w:rsid w:val="6D055828"/>
    <w:rsid w:val="6D15C9B1"/>
    <w:rsid w:val="6DCFBAF3"/>
    <w:rsid w:val="6DF9B885"/>
    <w:rsid w:val="6ED2F255"/>
    <w:rsid w:val="6F4CA17B"/>
    <w:rsid w:val="6FDABD3E"/>
    <w:rsid w:val="704583DA"/>
    <w:rsid w:val="705A551E"/>
    <w:rsid w:val="70E8637E"/>
    <w:rsid w:val="711BBDBA"/>
    <w:rsid w:val="7130C1CF"/>
    <w:rsid w:val="730A98B3"/>
    <w:rsid w:val="73AB184B"/>
    <w:rsid w:val="7400914D"/>
    <w:rsid w:val="740E02E6"/>
    <w:rsid w:val="7494C89B"/>
    <w:rsid w:val="7582FBE8"/>
    <w:rsid w:val="758D83BC"/>
    <w:rsid w:val="75CFAD8C"/>
    <w:rsid w:val="7660FB15"/>
    <w:rsid w:val="769D2AA6"/>
    <w:rsid w:val="76E7E903"/>
    <w:rsid w:val="77CCFAE3"/>
    <w:rsid w:val="77E58BC8"/>
    <w:rsid w:val="7802842F"/>
    <w:rsid w:val="78037F74"/>
    <w:rsid w:val="78C1BFE7"/>
    <w:rsid w:val="793E3C2C"/>
    <w:rsid w:val="7950E35C"/>
    <w:rsid w:val="7A82FFF4"/>
    <w:rsid w:val="7AD026C9"/>
    <w:rsid w:val="7BA6937A"/>
    <w:rsid w:val="7C10C29E"/>
    <w:rsid w:val="7C94F998"/>
    <w:rsid w:val="7CB73C75"/>
    <w:rsid w:val="7D068867"/>
    <w:rsid w:val="7D6870F1"/>
    <w:rsid w:val="7D806A5E"/>
    <w:rsid w:val="7DAD350F"/>
    <w:rsid w:val="7E176433"/>
    <w:rsid w:val="7EC14A2E"/>
    <w:rsid w:val="7EC898AF"/>
    <w:rsid w:val="7F9C100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1CA15"/>
  <w15:chartTrackingRefBased/>
  <w15:docId w15:val="{A3F9FC46-D639-437F-BD8B-A243F303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1C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737"/>
    <w:pPr>
      <w:ind w:left="720"/>
      <w:contextualSpacing/>
    </w:pPr>
  </w:style>
  <w:style w:type="character" w:styleId="Hyperlink">
    <w:name w:val="Hyperlink"/>
    <w:basedOn w:val="DefaultParagraphFont"/>
    <w:uiPriority w:val="99"/>
    <w:unhideWhenUsed/>
    <w:rsid w:val="00F34B6E"/>
    <w:rPr>
      <w:color w:val="0563C1" w:themeColor="hyperlink"/>
      <w:u w:val="single"/>
    </w:rPr>
  </w:style>
  <w:style w:type="character" w:styleId="UnresolvedMention">
    <w:name w:val="Unresolved Mention"/>
    <w:basedOn w:val="DefaultParagraphFont"/>
    <w:uiPriority w:val="99"/>
    <w:unhideWhenUsed/>
    <w:rsid w:val="00F34B6E"/>
    <w:rPr>
      <w:color w:val="605E5C"/>
      <w:shd w:val="clear" w:color="auto" w:fill="E1DFDD"/>
    </w:rPr>
  </w:style>
  <w:style w:type="table" w:styleId="TableGrid">
    <w:name w:val="Table Grid"/>
    <w:basedOn w:val="TableNormal"/>
    <w:uiPriority w:val="39"/>
    <w:rsid w:val="006F1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rsid w:val="006F1FF3"/>
    <w:rPr>
      <w:vertAlign w:val="superscript"/>
    </w:rPr>
  </w:style>
  <w:style w:type="paragraph" w:styleId="EndnoteText">
    <w:name w:val="endnote text"/>
    <w:basedOn w:val="Normal"/>
    <w:link w:val="EndnoteTextChar"/>
    <w:uiPriority w:val="99"/>
    <w:semiHidden/>
    <w:unhideWhenUsed/>
    <w:rsid w:val="006F1F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1FF3"/>
    <w:rPr>
      <w:sz w:val="20"/>
      <w:szCs w:val="20"/>
    </w:rPr>
  </w:style>
  <w:style w:type="character" w:customStyle="1" w:styleId="Heading1Char">
    <w:name w:val="Heading 1 Char"/>
    <w:basedOn w:val="DefaultParagraphFont"/>
    <w:link w:val="Heading1"/>
    <w:uiPriority w:val="9"/>
    <w:rsid w:val="001B1C09"/>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A05783"/>
    <w:rPr>
      <w:sz w:val="16"/>
      <w:szCs w:val="16"/>
    </w:rPr>
  </w:style>
  <w:style w:type="paragraph" w:styleId="CommentText">
    <w:name w:val="annotation text"/>
    <w:basedOn w:val="Normal"/>
    <w:link w:val="CommentTextChar"/>
    <w:uiPriority w:val="99"/>
    <w:semiHidden/>
    <w:unhideWhenUsed/>
    <w:rsid w:val="00A05783"/>
    <w:pPr>
      <w:spacing w:line="240" w:lineRule="auto"/>
    </w:pPr>
    <w:rPr>
      <w:sz w:val="20"/>
      <w:szCs w:val="20"/>
    </w:rPr>
  </w:style>
  <w:style w:type="character" w:customStyle="1" w:styleId="CommentTextChar">
    <w:name w:val="Comment Text Char"/>
    <w:basedOn w:val="DefaultParagraphFont"/>
    <w:link w:val="CommentText"/>
    <w:uiPriority w:val="99"/>
    <w:semiHidden/>
    <w:rsid w:val="00A05783"/>
    <w:rPr>
      <w:sz w:val="20"/>
      <w:szCs w:val="20"/>
    </w:rPr>
  </w:style>
  <w:style w:type="paragraph" w:styleId="CommentSubject">
    <w:name w:val="annotation subject"/>
    <w:basedOn w:val="CommentText"/>
    <w:next w:val="CommentText"/>
    <w:link w:val="CommentSubjectChar"/>
    <w:uiPriority w:val="99"/>
    <w:semiHidden/>
    <w:unhideWhenUsed/>
    <w:rsid w:val="00A05783"/>
    <w:rPr>
      <w:b/>
      <w:bCs/>
    </w:rPr>
  </w:style>
  <w:style w:type="character" w:customStyle="1" w:styleId="CommentSubjectChar">
    <w:name w:val="Comment Subject Char"/>
    <w:basedOn w:val="CommentTextChar"/>
    <w:link w:val="CommentSubject"/>
    <w:uiPriority w:val="99"/>
    <w:semiHidden/>
    <w:rsid w:val="00A05783"/>
    <w:rPr>
      <w:b/>
      <w:bCs/>
      <w:sz w:val="20"/>
      <w:szCs w:val="20"/>
    </w:rPr>
  </w:style>
  <w:style w:type="paragraph" w:styleId="BalloonText">
    <w:name w:val="Balloon Text"/>
    <w:basedOn w:val="Normal"/>
    <w:link w:val="BalloonTextChar"/>
    <w:uiPriority w:val="99"/>
    <w:semiHidden/>
    <w:unhideWhenUsed/>
    <w:rsid w:val="00A057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783"/>
    <w:rPr>
      <w:rFonts w:ascii="Segoe UI" w:hAnsi="Segoe UI" w:cs="Segoe UI"/>
      <w:sz w:val="18"/>
      <w:szCs w:val="18"/>
    </w:rPr>
  </w:style>
  <w:style w:type="paragraph" w:styleId="Header">
    <w:name w:val="header"/>
    <w:basedOn w:val="Normal"/>
    <w:link w:val="HeaderChar"/>
    <w:uiPriority w:val="99"/>
    <w:unhideWhenUsed/>
    <w:rsid w:val="006308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8CD"/>
  </w:style>
  <w:style w:type="paragraph" w:styleId="Footer">
    <w:name w:val="footer"/>
    <w:basedOn w:val="Normal"/>
    <w:link w:val="FooterChar"/>
    <w:uiPriority w:val="99"/>
    <w:unhideWhenUsed/>
    <w:rsid w:val="006308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8CD"/>
  </w:style>
  <w:style w:type="character" w:customStyle="1" w:styleId="normaltextrun">
    <w:name w:val="normaltextrun"/>
    <w:basedOn w:val="DefaultParagraphFont"/>
    <w:rsid w:val="00937161"/>
  </w:style>
  <w:style w:type="character" w:customStyle="1" w:styleId="eop">
    <w:name w:val="eop"/>
    <w:basedOn w:val="DefaultParagraphFont"/>
    <w:rsid w:val="00937161"/>
  </w:style>
  <w:style w:type="character" w:customStyle="1" w:styleId="findhit">
    <w:name w:val="findhit"/>
    <w:basedOn w:val="DefaultParagraphFont"/>
    <w:rsid w:val="00B416C4"/>
  </w:style>
  <w:style w:type="paragraph" w:customStyle="1" w:styleId="paragraph">
    <w:name w:val="paragraph"/>
    <w:basedOn w:val="Normal"/>
    <w:rsid w:val="003C64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079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Mention">
    <w:name w:val="Mention"/>
    <w:basedOn w:val="DefaultParagraphFont"/>
    <w:uiPriority w:val="99"/>
    <w:unhideWhenUsed/>
    <w:rsid w:val="009771FB"/>
    <w:rPr>
      <w:color w:val="2B579A"/>
      <w:shd w:val="clear" w:color="auto" w:fill="E1DFDD"/>
    </w:rPr>
  </w:style>
  <w:style w:type="paragraph" w:styleId="FootnoteText">
    <w:name w:val="footnote text"/>
    <w:basedOn w:val="Normal"/>
    <w:link w:val="FootnoteTextChar"/>
    <w:uiPriority w:val="99"/>
    <w:semiHidden/>
    <w:unhideWhenUsed/>
    <w:rsid w:val="00B570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06D"/>
    <w:rPr>
      <w:sz w:val="20"/>
      <w:szCs w:val="20"/>
    </w:rPr>
  </w:style>
  <w:style w:type="character" w:styleId="FootnoteReference">
    <w:name w:val="footnote reference"/>
    <w:basedOn w:val="DefaultParagraphFont"/>
    <w:uiPriority w:val="99"/>
    <w:semiHidden/>
    <w:unhideWhenUsed/>
    <w:rsid w:val="00B570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3705">
      <w:bodyDiv w:val="1"/>
      <w:marLeft w:val="0"/>
      <w:marRight w:val="0"/>
      <w:marTop w:val="0"/>
      <w:marBottom w:val="0"/>
      <w:divBdr>
        <w:top w:val="none" w:sz="0" w:space="0" w:color="auto"/>
        <w:left w:val="none" w:sz="0" w:space="0" w:color="auto"/>
        <w:bottom w:val="none" w:sz="0" w:space="0" w:color="auto"/>
        <w:right w:val="none" w:sz="0" w:space="0" w:color="auto"/>
      </w:divBdr>
    </w:div>
    <w:div w:id="124200551">
      <w:bodyDiv w:val="1"/>
      <w:marLeft w:val="0"/>
      <w:marRight w:val="0"/>
      <w:marTop w:val="0"/>
      <w:marBottom w:val="0"/>
      <w:divBdr>
        <w:top w:val="none" w:sz="0" w:space="0" w:color="auto"/>
        <w:left w:val="none" w:sz="0" w:space="0" w:color="auto"/>
        <w:bottom w:val="none" w:sz="0" w:space="0" w:color="auto"/>
        <w:right w:val="none" w:sz="0" w:space="0" w:color="auto"/>
      </w:divBdr>
      <w:divsChild>
        <w:div w:id="63916202">
          <w:marLeft w:val="274"/>
          <w:marRight w:val="0"/>
          <w:marTop w:val="0"/>
          <w:marBottom w:val="0"/>
          <w:divBdr>
            <w:top w:val="none" w:sz="0" w:space="0" w:color="auto"/>
            <w:left w:val="none" w:sz="0" w:space="0" w:color="auto"/>
            <w:bottom w:val="none" w:sz="0" w:space="0" w:color="auto"/>
            <w:right w:val="none" w:sz="0" w:space="0" w:color="auto"/>
          </w:divBdr>
        </w:div>
        <w:div w:id="124274672">
          <w:marLeft w:val="274"/>
          <w:marRight w:val="0"/>
          <w:marTop w:val="0"/>
          <w:marBottom w:val="0"/>
          <w:divBdr>
            <w:top w:val="none" w:sz="0" w:space="0" w:color="auto"/>
            <w:left w:val="none" w:sz="0" w:space="0" w:color="auto"/>
            <w:bottom w:val="none" w:sz="0" w:space="0" w:color="auto"/>
            <w:right w:val="none" w:sz="0" w:space="0" w:color="auto"/>
          </w:divBdr>
        </w:div>
        <w:div w:id="238490514">
          <w:marLeft w:val="274"/>
          <w:marRight w:val="0"/>
          <w:marTop w:val="0"/>
          <w:marBottom w:val="0"/>
          <w:divBdr>
            <w:top w:val="none" w:sz="0" w:space="0" w:color="auto"/>
            <w:left w:val="none" w:sz="0" w:space="0" w:color="auto"/>
            <w:bottom w:val="none" w:sz="0" w:space="0" w:color="auto"/>
            <w:right w:val="none" w:sz="0" w:space="0" w:color="auto"/>
          </w:divBdr>
        </w:div>
        <w:div w:id="282999613">
          <w:marLeft w:val="274"/>
          <w:marRight w:val="0"/>
          <w:marTop w:val="0"/>
          <w:marBottom w:val="0"/>
          <w:divBdr>
            <w:top w:val="none" w:sz="0" w:space="0" w:color="auto"/>
            <w:left w:val="none" w:sz="0" w:space="0" w:color="auto"/>
            <w:bottom w:val="none" w:sz="0" w:space="0" w:color="auto"/>
            <w:right w:val="none" w:sz="0" w:space="0" w:color="auto"/>
          </w:divBdr>
        </w:div>
        <w:div w:id="395051077">
          <w:marLeft w:val="274"/>
          <w:marRight w:val="0"/>
          <w:marTop w:val="0"/>
          <w:marBottom w:val="0"/>
          <w:divBdr>
            <w:top w:val="none" w:sz="0" w:space="0" w:color="auto"/>
            <w:left w:val="none" w:sz="0" w:space="0" w:color="auto"/>
            <w:bottom w:val="none" w:sz="0" w:space="0" w:color="auto"/>
            <w:right w:val="none" w:sz="0" w:space="0" w:color="auto"/>
          </w:divBdr>
        </w:div>
        <w:div w:id="994145081">
          <w:marLeft w:val="274"/>
          <w:marRight w:val="0"/>
          <w:marTop w:val="0"/>
          <w:marBottom w:val="0"/>
          <w:divBdr>
            <w:top w:val="none" w:sz="0" w:space="0" w:color="auto"/>
            <w:left w:val="none" w:sz="0" w:space="0" w:color="auto"/>
            <w:bottom w:val="none" w:sz="0" w:space="0" w:color="auto"/>
            <w:right w:val="none" w:sz="0" w:space="0" w:color="auto"/>
          </w:divBdr>
        </w:div>
        <w:div w:id="1084449209">
          <w:marLeft w:val="274"/>
          <w:marRight w:val="0"/>
          <w:marTop w:val="0"/>
          <w:marBottom w:val="0"/>
          <w:divBdr>
            <w:top w:val="none" w:sz="0" w:space="0" w:color="auto"/>
            <w:left w:val="none" w:sz="0" w:space="0" w:color="auto"/>
            <w:bottom w:val="none" w:sz="0" w:space="0" w:color="auto"/>
            <w:right w:val="none" w:sz="0" w:space="0" w:color="auto"/>
          </w:divBdr>
        </w:div>
        <w:div w:id="1104181829">
          <w:marLeft w:val="274"/>
          <w:marRight w:val="0"/>
          <w:marTop w:val="0"/>
          <w:marBottom w:val="0"/>
          <w:divBdr>
            <w:top w:val="none" w:sz="0" w:space="0" w:color="auto"/>
            <w:left w:val="none" w:sz="0" w:space="0" w:color="auto"/>
            <w:bottom w:val="none" w:sz="0" w:space="0" w:color="auto"/>
            <w:right w:val="none" w:sz="0" w:space="0" w:color="auto"/>
          </w:divBdr>
        </w:div>
        <w:div w:id="1361936320">
          <w:marLeft w:val="274"/>
          <w:marRight w:val="0"/>
          <w:marTop w:val="0"/>
          <w:marBottom w:val="0"/>
          <w:divBdr>
            <w:top w:val="none" w:sz="0" w:space="0" w:color="auto"/>
            <w:left w:val="none" w:sz="0" w:space="0" w:color="auto"/>
            <w:bottom w:val="none" w:sz="0" w:space="0" w:color="auto"/>
            <w:right w:val="none" w:sz="0" w:space="0" w:color="auto"/>
          </w:divBdr>
        </w:div>
        <w:div w:id="1401054254">
          <w:marLeft w:val="274"/>
          <w:marRight w:val="0"/>
          <w:marTop w:val="0"/>
          <w:marBottom w:val="0"/>
          <w:divBdr>
            <w:top w:val="none" w:sz="0" w:space="0" w:color="auto"/>
            <w:left w:val="none" w:sz="0" w:space="0" w:color="auto"/>
            <w:bottom w:val="none" w:sz="0" w:space="0" w:color="auto"/>
            <w:right w:val="none" w:sz="0" w:space="0" w:color="auto"/>
          </w:divBdr>
        </w:div>
        <w:div w:id="1627159263">
          <w:marLeft w:val="274"/>
          <w:marRight w:val="0"/>
          <w:marTop w:val="0"/>
          <w:marBottom w:val="0"/>
          <w:divBdr>
            <w:top w:val="none" w:sz="0" w:space="0" w:color="auto"/>
            <w:left w:val="none" w:sz="0" w:space="0" w:color="auto"/>
            <w:bottom w:val="none" w:sz="0" w:space="0" w:color="auto"/>
            <w:right w:val="none" w:sz="0" w:space="0" w:color="auto"/>
          </w:divBdr>
        </w:div>
        <w:div w:id="1681393616">
          <w:marLeft w:val="274"/>
          <w:marRight w:val="0"/>
          <w:marTop w:val="0"/>
          <w:marBottom w:val="0"/>
          <w:divBdr>
            <w:top w:val="none" w:sz="0" w:space="0" w:color="auto"/>
            <w:left w:val="none" w:sz="0" w:space="0" w:color="auto"/>
            <w:bottom w:val="none" w:sz="0" w:space="0" w:color="auto"/>
            <w:right w:val="none" w:sz="0" w:space="0" w:color="auto"/>
          </w:divBdr>
        </w:div>
        <w:div w:id="1687101442">
          <w:marLeft w:val="274"/>
          <w:marRight w:val="0"/>
          <w:marTop w:val="0"/>
          <w:marBottom w:val="0"/>
          <w:divBdr>
            <w:top w:val="none" w:sz="0" w:space="0" w:color="auto"/>
            <w:left w:val="none" w:sz="0" w:space="0" w:color="auto"/>
            <w:bottom w:val="none" w:sz="0" w:space="0" w:color="auto"/>
            <w:right w:val="none" w:sz="0" w:space="0" w:color="auto"/>
          </w:divBdr>
        </w:div>
        <w:div w:id="1710455129">
          <w:marLeft w:val="274"/>
          <w:marRight w:val="0"/>
          <w:marTop w:val="0"/>
          <w:marBottom w:val="0"/>
          <w:divBdr>
            <w:top w:val="none" w:sz="0" w:space="0" w:color="auto"/>
            <w:left w:val="none" w:sz="0" w:space="0" w:color="auto"/>
            <w:bottom w:val="none" w:sz="0" w:space="0" w:color="auto"/>
            <w:right w:val="none" w:sz="0" w:space="0" w:color="auto"/>
          </w:divBdr>
        </w:div>
        <w:div w:id="1785465203">
          <w:marLeft w:val="274"/>
          <w:marRight w:val="0"/>
          <w:marTop w:val="0"/>
          <w:marBottom w:val="0"/>
          <w:divBdr>
            <w:top w:val="none" w:sz="0" w:space="0" w:color="auto"/>
            <w:left w:val="none" w:sz="0" w:space="0" w:color="auto"/>
            <w:bottom w:val="none" w:sz="0" w:space="0" w:color="auto"/>
            <w:right w:val="none" w:sz="0" w:space="0" w:color="auto"/>
          </w:divBdr>
        </w:div>
        <w:div w:id="2064481318">
          <w:marLeft w:val="274"/>
          <w:marRight w:val="0"/>
          <w:marTop w:val="0"/>
          <w:marBottom w:val="0"/>
          <w:divBdr>
            <w:top w:val="none" w:sz="0" w:space="0" w:color="auto"/>
            <w:left w:val="none" w:sz="0" w:space="0" w:color="auto"/>
            <w:bottom w:val="none" w:sz="0" w:space="0" w:color="auto"/>
            <w:right w:val="none" w:sz="0" w:space="0" w:color="auto"/>
          </w:divBdr>
        </w:div>
        <w:div w:id="2131119895">
          <w:marLeft w:val="274"/>
          <w:marRight w:val="0"/>
          <w:marTop w:val="0"/>
          <w:marBottom w:val="0"/>
          <w:divBdr>
            <w:top w:val="none" w:sz="0" w:space="0" w:color="auto"/>
            <w:left w:val="none" w:sz="0" w:space="0" w:color="auto"/>
            <w:bottom w:val="none" w:sz="0" w:space="0" w:color="auto"/>
            <w:right w:val="none" w:sz="0" w:space="0" w:color="auto"/>
          </w:divBdr>
        </w:div>
      </w:divsChild>
    </w:div>
    <w:div w:id="128018357">
      <w:bodyDiv w:val="1"/>
      <w:marLeft w:val="0"/>
      <w:marRight w:val="0"/>
      <w:marTop w:val="0"/>
      <w:marBottom w:val="0"/>
      <w:divBdr>
        <w:top w:val="none" w:sz="0" w:space="0" w:color="auto"/>
        <w:left w:val="none" w:sz="0" w:space="0" w:color="auto"/>
        <w:bottom w:val="none" w:sz="0" w:space="0" w:color="auto"/>
        <w:right w:val="none" w:sz="0" w:space="0" w:color="auto"/>
      </w:divBdr>
      <w:divsChild>
        <w:div w:id="47342064">
          <w:marLeft w:val="274"/>
          <w:marRight w:val="0"/>
          <w:marTop w:val="0"/>
          <w:marBottom w:val="0"/>
          <w:divBdr>
            <w:top w:val="none" w:sz="0" w:space="0" w:color="auto"/>
            <w:left w:val="none" w:sz="0" w:space="0" w:color="auto"/>
            <w:bottom w:val="none" w:sz="0" w:space="0" w:color="auto"/>
            <w:right w:val="none" w:sz="0" w:space="0" w:color="auto"/>
          </w:divBdr>
        </w:div>
        <w:div w:id="101652194">
          <w:marLeft w:val="274"/>
          <w:marRight w:val="0"/>
          <w:marTop w:val="0"/>
          <w:marBottom w:val="0"/>
          <w:divBdr>
            <w:top w:val="none" w:sz="0" w:space="0" w:color="auto"/>
            <w:left w:val="none" w:sz="0" w:space="0" w:color="auto"/>
            <w:bottom w:val="none" w:sz="0" w:space="0" w:color="auto"/>
            <w:right w:val="none" w:sz="0" w:space="0" w:color="auto"/>
          </w:divBdr>
        </w:div>
        <w:div w:id="176889408">
          <w:marLeft w:val="274"/>
          <w:marRight w:val="0"/>
          <w:marTop w:val="0"/>
          <w:marBottom w:val="0"/>
          <w:divBdr>
            <w:top w:val="none" w:sz="0" w:space="0" w:color="auto"/>
            <w:left w:val="none" w:sz="0" w:space="0" w:color="auto"/>
            <w:bottom w:val="none" w:sz="0" w:space="0" w:color="auto"/>
            <w:right w:val="none" w:sz="0" w:space="0" w:color="auto"/>
          </w:divBdr>
        </w:div>
        <w:div w:id="242181758">
          <w:marLeft w:val="274"/>
          <w:marRight w:val="0"/>
          <w:marTop w:val="0"/>
          <w:marBottom w:val="0"/>
          <w:divBdr>
            <w:top w:val="none" w:sz="0" w:space="0" w:color="auto"/>
            <w:left w:val="none" w:sz="0" w:space="0" w:color="auto"/>
            <w:bottom w:val="none" w:sz="0" w:space="0" w:color="auto"/>
            <w:right w:val="none" w:sz="0" w:space="0" w:color="auto"/>
          </w:divBdr>
        </w:div>
        <w:div w:id="502284571">
          <w:marLeft w:val="274"/>
          <w:marRight w:val="0"/>
          <w:marTop w:val="0"/>
          <w:marBottom w:val="0"/>
          <w:divBdr>
            <w:top w:val="none" w:sz="0" w:space="0" w:color="auto"/>
            <w:left w:val="none" w:sz="0" w:space="0" w:color="auto"/>
            <w:bottom w:val="none" w:sz="0" w:space="0" w:color="auto"/>
            <w:right w:val="none" w:sz="0" w:space="0" w:color="auto"/>
          </w:divBdr>
        </w:div>
        <w:div w:id="560866457">
          <w:marLeft w:val="274"/>
          <w:marRight w:val="0"/>
          <w:marTop w:val="0"/>
          <w:marBottom w:val="0"/>
          <w:divBdr>
            <w:top w:val="none" w:sz="0" w:space="0" w:color="auto"/>
            <w:left w:val="none" w:sz="0" w:space="0" w:color="auto"/>
            <w:bottom w:val="none" w:sz="0" w:space="0" w:color="auto"/>
            <w:right w:val="none" w:sz="0" w:space="0" w:color="auto"/>
          </w:divBdr>
        </w:div>
        <w:div w:id="748231563">
          <w:marLeft w:val="274"/>
          <w:marRight w:val="0"/>
          <w:marTop w:val="0"/>
          <w:marBottom w:val="0"/>
          <w:divBdr>
            <w:top w:val="none" w:sz="0" w:space="0" w:color="auto"/>
            <w:left w:val="none" w:sz="0" w:space="0" w:color="auto"/>
            <w:bottom w:val="none" w:sz="0" w:space="0" w:color="auto"/>
            <w:right w:val="none" w:sz="0" w:space="0" w:color="auto"/>
          </w:divBdr>
        </w:div>
        <w:div w:id="889997691">
          <w:marLeft w:val="274"/>
          <w:marRight w:val="0"/>
          <w:marTop w:val="0"/>
          <w:marBottom w:val="0"/>
          <w:divBdr>
            <w:top w:val="none" w:sz="0" w:space="0" w:color="auto"/>
            <w:left w:val="none" w:sz="0" w:space="0" w:color="auto"/>
            <w:bottom w:val="none" w:sz="0" w:space="0" w:color="auto"/>
            <w:right w:val="none" w:sz="0" w:space="0" w:color="auto"/>
          </w:divBdr>
        </w:div>
        <w:div w:id="1390763346">
          <w:marLeft w:val="274"/>
          <w:marRight w:val="0"/>
          <w:marTop w:val="0"/>
          <w:marBottom w:val="0"/>
          <w:divBdr>
            <w:top w:val="none" w:sz="0" w:space="0" w:color="auto"/>
            <w:left w:val="none" w:sz="0" w:space="0" w:color="auto"/>
            <w:bottom w:val="none" w:sz="0" w:space="0" w:color="auto"/>
            <w:right w:val="none" w:sz="0" w:space="0" w:color="auto"/>
          </w:divBdr>
        </w:div>
        <w:div w:id="1531843909">
          <w:marLeft w:val="274"/>
          <w:marRight w:val="0"/>
          <w:marTop w:val="0"/>
          <w:marBottom w:val="0"/>
          <w:divBdr>
            <w:top w:val="none" w:sz="0" w:space="0" w:color="auto"/>
            <w:left w:val="none" w:sz="0" w:space="0" w:color="auto"/>
            <w:bottom w:val="none" w:sz="0" w:space="0" w:color="auto"/>
            <w:right w:val="none" w:sz="0" w:space="0" w:color="auto"/>
          </w:divBdr>
        </w:div>
        <w:div w:id="1543788391">
          <w:marLeft w:val="274"/>
          <w:marRight w:val="0"/>
          <w:marTop w:val="0"/>
          <w:marBottom w:val="0"/>
          <w:divBdr>
            <w:top w:val="none" w:sz="0" w:space="0" w:color="auto"/>
            <w:left w:val="none" w:sz="0" w:space="0" w:color="auto"/>
            <w:bottom w:val="none" w:sz="0" w:space="0" w:color="auto"/>
            <w:right w:val="none" w:sz="0" w:space="0" w:color="auto"/>
          </w:divBdr>
        </w:div>
        <w:div w:id="1816407967">
          <w:marLeft w:val="274"/>
          <w:marRight w:val="0"/>
          <w:marTop w:val="0"/>
          <w:marBottom w:val="0"/>
          <w:divBdr>
            <w:top w:val="none" w:sz="0" w:space="0" w:color="auto"/>
            <w:left w:val="none" w:sz="0" w:space="0" w:color="auto"/>
            <w:bottom w:val="none" w:sz="0" w:space="0" w:color="auto"/>
            <w:right w:val="none" w:sz="0" w:space="0" w:color="auto"/>
          </w:divBdr>
        </w:div>
        <w:div w:id="2017726008">
          <w:marLeft w:val="274"/>
          <w:marRight w:val="0"/>
          <w:marTop w:val="0"/>
          <w:marBottom w:val="0"/>
          <w:divBdr>
            <w:top w:val="none" w:sz="0" w:space="0" w:color="auto"/>
            <w:left w:val="none" w:sz="0" w:space="0" w:color="auto"/>
            <w:bottom w:val="none" w:sz="0" w:space="0" w:color="auto"/>
            <w:right w:val="none" w:sz="0" w:space="0" w:color="auto"/>
          </w:divBdr>
        </w:div>
        <w:div w:id="2037001029">
          <w:marLeft w:val="274"/>
          <w:marRight w:val="0"/>
          <w:marTop w:val="0"/>
          <w:marBottom w:val="0"/>
          <w:divBdr>
            <w:top w:val="none" w:sz="0" w:space="0" w:color="auto"/>
            <w:left w:val="none" w:sz="0" w:space="0" w:color="auto"/>
            <w:bottom w:val="none" w:sz="0" w:space="0" w:color="auto"/>
            <w:right w:val="none" w:sz="0" w:space="0" w:color="auto"/>
          </w:divBdr>
        </w:div>
        <w:div w:id="2119910445">
          <w:marLeft w:val="274"/>
          <w:marRight w:val="0"/>
          <w:marTop w:val="0"/>
          <w:marBottom w:val="0"/>
          <w:divBdr>
            <w:top w:val="none" w:sz="0" w:space="0" w:color="auto"/>
            <w:left w:val="none" w:sz="0" w:space="0" w:color="auto"/>
            <w:bottom w:val="none" w:sz="0" w:space="0" w:color="auto"/>
            <w:right w:val="none" w:sz="0" w:space="0" w:color="auto"/>
          </w:divBdr>
        </w:div>
        <w:div w:id="2129887126">
          <w:marLeft w:val="274"/>
          <w:marRight w:val="0"/>
          <w:marTop w:val="0"/>
          <w:marBottom w:val="0"/>
          <w:divBdr>
            <w:top w:val="none" w:sz="0" w:space="0" w:color="auto"/>
            <w:left w:val="none" w:sz="0" w:space="0" w:color="auto"/>
            <w:bottom w:val="none" w:sz="0" w:space="0" w:color="auto"/>
            <w:right w:val="none" w:sz="0" w:space="0" w:color="auto"/>
          </w:divBdr>
        </w:div>
      </w:divsChild>
    </w:div>
    <w:div w:id="301692638">
      <w:bodyDiv w:val="1"/>
      <w:marLeft w:val="0"/>
      <w:marRight w:val="0"/>
      <w:marTop w:val="0"/>
      <w:marBottom w:val="0"/>
      <w:divBdr>
        <w:top w:val="none" w:sz="0" w:space="0" w:color="auto"/>
        <w:left w:val="none" w:sz="0" w:space="0" w:color="auto"/>
        <w:bottom w:val="none" w:sz="0" w:space="0" w:color="auto"/>
        <w:right w:val="none" w:sz="0" w:space="0" w:color="auto"/>
      </w:divBdr>
    </w:div>
    <w:div w:id="357630156">
      <w:bodyDiv w:val="1"/>
      <w:marLeft w:val="0"/>
      <w:marRight w:val="0"/>
      <w:marTop w:val="0"/>
      <w:marBottom w:val="0"/>
      <w:divBdr>
        <w:top w:val="none" w:sz="0" w:space="0" w:color="auto"/>
        <w:left w:val="none" w:sz="0" w:space="0" w:color="auto"/>
        <w:bottom w:val="none" w:sz="0" w:space="0" w:color="auto"/>
        <w:right w:val="none" w:sz="0" w:space="0" w:color="auto"/>
      </w:divBdr>
    </w:div>
    <w:div w:id="409231289">
      <w:bodyDiv w:val="1"/>
      <w:marLeft w:val="0"/>
      <w:marRight w:val="0"/>
      <w:marTop w:val="0"/>
      <w:marBottom w:val="0"/>
      <w:divBdr>
        <w:top w:val="none" w:sz="0" w:space="0" w:color="auto"/>
        <w:left w:val="none" w:sz="0" w:space="0" w:color="auto"/>
        <w:bottom w:val="none" w:sz="0" w:space="0" w:color="auto"/>
        <w:right w:val="none" w:sz="0" w:space="0" w:color="auto"/>
      </w:divBdr>
    </w:div>
    <w:div w:id="414979030">
      <w:bodyDiv w:val="1"/>
      <w:marLeft w:val="0"/>
      <w:marRight w:val="0"/>
      <w:marTop w:val="0"/>
      <w:marBottom w:val="0"/>
      <w:divBdr>
        <w:top w:val="none" w:sz="0" w:space="0" w:color="auto"/>
        <w:left w:val="none" w:sz="0" w:space="0" w:color="auto"/>
        <w:bottom w:val="none" w:sz="0" w:space="0" w:color="auto"/>
        <w:right w:val="none" w:sz="0" w:space="0" w:color="auto"/>
      </w:divBdr>
    </w:div>
    <w:div w:id="486241090">
      <w:bodyDiv w:val="1"/>
      <w:marLeft w:val="0"/>
      <w:marRight w:val="0"/>
      <w:marTop w:val="0"/>
      <w:marBottom w:val="0"/>
      <w:divBdr>
        <w:top w:val="none" w:sz="0" w:space="0" w:color="auto"/>
        <w:left w:val="none" w:sz="0" w:space="0" w:color="auto"/>
        <w:bottom w:val="none" w:sz="0" w:space="0" w:color="auto"/>
        <w:right w:val="none" w:sz="0" w:space="0" w:color="auto"/>
      </w:divBdr>
    </w:div>
    <w:div w:id="557326347">
      <w:bodyDiv w:val="1"/>
      <w:marLeft w:val="0"/>
      <w:marRight w:val="0"/>
      <w:marTop w:val="0"/>
      <w:marBottom w:val="0"/>
      <w:divBdr>
        <w:top w:val="none" w:sz="0" w:space="0" w:color="auto"/>
        <w:left w:val="none" w:sz="0" w:space="0" w:color="auto"/>
        <w:bottom w:val="none" w:sz="0" w:space="0" w:color="auto"/>
        <w:right w:val="none" w:sz="0" w:space="0" w:color="auto"/>
      </w:divBdr>
      <w:divsChild>
        <w:div w:id="386075775">
          <w:marLeft w:val="274"/>
          <w:marRight w:val="0"/>
          <w:marTop w:val="0"/>
          <w:marBottom w:val="0"/>
          <w:divBdr>
            <w:top w:val="none" w:sz="0" w:space="0" w:color="auto"/>
            <w:left w:val="none" w:sz="0" w:space="0" w:color="auto"/>
            <w:bottom w:val="none" w:sz="0" w:space="0" w:color="auto"/>
            <w:right w:val="none" w:sz="0" w:space="0" w:color="auto"/>
          </w:divBdr>
        </w:div>
        <w:div w:id="1585534799">
          <w:marLeft w:val="274"/>
          <w:marRight w:val="0"/>
          <w:marTop w:val="0"/>
          <w:marBottom w:val="0"/>
          <w:divBdr>
            <w:top w:val="none" w:sz="0" w:space="0" w:color="auto"/>
            <w:left w:val="none" w:sz="0" w:space="0" w:color="auto"/>
            <w:bottom w:val="none" w:sz="0" w:space="0" w:color="auto"/>
            <w:right w:val="none" w:sz="0" w:space="0" w:color="auto"/>
          </w:divBdr>
        </w:div>
        <w:div w:id="1850900071">
          <w:marLeft w:val="274"/>
          <w:marRight w:val="0"/>
          <w:marTop w:val="0"/>
          <w:marBottom w:val="0"/>
          <w:divBdr>
            <w:top w:val="none" w:sz="0" w:space="0" w:color="auto"/>
            <w:left w:val="none" w:sz="0" w:space="0" w:color="auto"/>
            <w:bottom w:val="none" w:sz="0" w:space="0" w:color="auto"/>
            <w:right w:val="none" w:sz="0" w:space="0" w:color="auto"/>
          </w:divBdr>
        </w:div>
      </w:divsChild>
    </w:div>
    <w:div w:id="589319640">
      <w:bodyDiv w:val="1"/>
      <w:marLeft w:val="0"/>
      <w:marRight w:val="0"/>
      <w:marTop w:val="0"/>
      <w:marBottom w:val="0"/>
      <w:divBdr>
        <w:top w:val="none" w:sz="0" w:space="0" w:color="auto"/>
        <w:left w:val="none" w:sz="0" w:space="0" w:color="auto"/>
        <w:bottom w:val="none" w:sz="0" w:space="0" w:color="auto"/>
        <w:right w:val="none" w:sz="0" w:space="0" w:color="auto"/>
      </w:divBdr>
    </w:div>
    <w:div w:id="616525057">
      <w:bodyDiv w:val="1"/>
      <w:marLeft w:val="0"/>
      <w:marRight w:val="0"/>
      <w:marTop w:val="0"/>
      <w:marBottom w:val="0"/>
      <w:divBdr>
        <w:top w:val="none" w:sz="0" w:space="0" w:color="auto"/>
        <w:left w:val="none" w:sz="0" w:space="0" w:color="auto"/>
        <w:bottom w:val="none" w:sz="0" w:space="0" w:color="auto"/>
        <w:right w:val="none" w:sz="0" w:space="0" w:color="auto"/>
      </w:divBdr>
      <w:divsChild>
        <w:div w:id="71439804">
          <w:marLeft w:val="274"/>
          <w:marRight w:val="0"/>
          <w:marTop w:val="0"/>
          <w:marBottom w:val="0"/>
          <w:divBdr>
            <w:top w:val="none" w:sz="0" w:space="0" w:color="auto"/>
            <w:left w:val="none" w:sz="0" w:space="0" w:color="auto"/>
            <w:bottom w:val="none" w:sz="0" w:space="0" w:color="auto"/>
            <w:right w:val="none" w:sz="0" w:space="0" w:color="auto"/>
          </w:divBdr>
        </w:div>
        <w:div w:id="175727661">
          <w:marLeft w:val="274"/>
          <w:marRight w:val="0"/>
          <w:marTop w:val="0"/>
          <w:marBottom w:val="0"/>
          <w:divBdr>
            <w:top w:val="none" w:sz="0" w:space="0" w:color="auto"/>
            <w:left w:val="none" w:sz="0" w:space="0" w:color="auto"/>
            <w:bottom w:val="none" w:sz="0" w:space="0" w:color="auto"/>
            <w:right w:val="none" w:sz="0" w:space="0" w:color="auto"/>
          </w:divBdr>
        </w:div>
        <w:div w:id="267197811">
          <w:marLeft w:val="274"/>
          <w:marRight w:val="0"/>
          <w:marTop w:val="0"/>
          <w:marBottom w:val="0"/>
          <w:divBdr>
            <w:top w:val="none" w:sz="0" w:space="0" w:color="auto"/>
            <w:left w:val="none" w:sz="0" w:space="0" w:color="auto"/>
            <w:bottom w:val="none" w:sz="0" w:space="0" w:color="auto"/>
            <w:right w:val="none" w:sz="0" w:space="0" w:color="auto"/>
          </w:divBdr>
        </w:div>
        <w:div w:id="326791215">
          <w:marLeft w:val="274"/>
          <w:marRight w:val="0"/>
          <w:marTop w:val="0"/>
          <w:marBottom w:val="0"/>
          <w:divBdr>
            <w:top w:val="none" w:sz="0" w:space="0" w:color="auto"/>
            <w:left w:val="none" w:sz="0" w:space="0" w:color="auto"/>
            <w:bottom w:val="none" w:sz="0" w:space="0" w:color="auto"/>
            <w:right w:val="none" w:sz="0" w:space="0" w:color="auto"/>
          </w:divBdr>
        </w:div>
        <w:div w:id="351762330">
          <w:marLeft w:val="274"/>
          <w:marRight w:val="0"/>
          <w:marTop w:val="0"/>
          <w:marBottom w:val="0"/>
          <w:divBdr>
            <w:top w:val="none" w:sz="0" w:space="0" w:color="auto"/>
            <w:left w:val="none" w:sz="0" w:space="0" w:color="auto"/>
            <w:bottom w:val="none" w:sz="0" w:space="0" w:color="auto"/>
            <w:right w:val="none" w:sz="0" w:space="0" w:color="auto"/>
          </w:divBdr>
        </w:div>
        <w:div w:id="384179873">
          <w:marLeft w:val="274"/>
          <w:marRight w:val="0"/>
          <w:marTop w:val="0"/>
          <w:marBottom w:val="0"/>
          <w:divBdr>
            <w:top w:val="none" w:sz="0" w:space="0" w:color="auto"/>
            <w:left w:val="none" w:sz="0" w:space="0" w:color="auto"/>
            <w:bottom w:val="none" w:sz="0" w:space="0" w:color="auto"/>
            <w:right w:val="none" w:sz="0" w:space="0" w:color="auto"/>
          </w:divBdr>
        </w:div>
        <w:div w:id="490952014">
          <w:marLeft w:val="274"/>
          <w:marRight w:val="0"/>
          <w:marTop w:val="0"/>
          <w:marBottom w:val="0"/>
          <w:divBdr>
            <w:top w:val="none" w:sz="0" w:space="0" w:color="auto"/>
            <w:left w:val="none" w:sz="0" w:space="0" w:color="auto"/>
            <w:bottom w:val="none" w:sz="0" w:space="0" w:color="auto"/>
            <w:right w:val="none" w:sz="0" w:space="0" w:color="auto"/>
          </w:divBdr>
        </w:div>
        <w:div w:id="526263132">
          <w:marLeft w:val="274"/>
          <w:marRight w:val="0"/>
          <w:marTop w:val="0"/>
          <w:marBottom w:val="0"/>
          <w:divBdr>
            <w:top w:val="none" w:sz="0" w:space="0" w:color="auto"/>
            <w:left w:val="none" w:sz="0" w:space="0" w:color="auto"/>
            <w:bottom w:val="none" w:sz="0" w:space="0" w:color="auto"/>
            <w:right w:val="none" w:sz="0" w:space="0" w:color="auto"/>
          </w:divBdr>
        </w:div>
        <w:div w:id="639963763">
          <w:marLeft w:val="274"/>
          <w:marRight w:val="0"/>
          <w:marTop w:val="0"/>
          <w:marBottom w:val="0"/>
          <w:divBdr>
            <w:top w:val="none" w:sz="0" w:space="0" w:color="auto"/>
            <w:left w:val="none" w:sz="0" w:space="0" w:color="auto"/>
            <w:bottom w:val="none" w:sz="0" w:space="0" w:color="auto"/>
            <w:right w:val="none" w:sz="0" w:space="0" w:color="auto"/>
          </w:divBdr>
        </w:div>
        <w:div w:id="742527696">
          <w:marLeft w:val="274"/>
          <w:marRight w:val="0"/>
          <w:marTop w:val="0"/>
          <w:marBottom w:val="0"/>
          <w:divBdr>
            <w:top w:val="none" w:sz="0" w:space="0" w:color="auto"/>
            <w:left w:val="none" w:sz="0" w:space="0" w:color="auto"/>
            <w:bottom w:val="none" w:sz="0" w:space="0" w:color="auto"/>
            <w:right w:val="none" w:sz="0" w:space="0" w:color="auto"/>
          </w:divBdr>
        </w:div>
        <w:div w:id="842355616">
          <w:marLeft w:val="274"/>
          <w:marRight w:val="0"/>
          <w:marTop w:val="0"/>
          <w:marBottom w:val="0"/>
          <w:divBdr>
            <w:top w:val="none" w:sz="0" w:space="0" w:color="auto"/>
            <w:left w:val="none" w:sz="0" w:space="0" w:color="auto"/>
            <w:bottom w:val="none" w:sz="0" w:space="0" w:color="auto"/>
            <w:right w:val="none" w:sz="0" w:space="0" w:color="auto"/>
          </w:divBdr>
        </w:div>
        <w:div w:id="1057509590">
          <w:marLeft w:val="274"/>
          <w:marRight w:val="0"/>
          <w:marTop w:val="0"/>
          <w:marBottom w:val="0"/>
          <w:divBdr>
            <w:top w:val="none" w:sz="0" w:space="0" w:color="auto"/>
            <w:left w:val="none" w:sz="0" w:space="0" w:color="auto"/>
            <w:bottom w:val="none" w:sz="0" w:space="0" w:color="auto"/>
            <w:right w:val="none" w:sz="0" w:space="0" w:color="auto"/>
          </w:divBdr>
        </w:div>
        <w:div w:id="1329557185">
          <w:marLeft w:val="274"/>
          <w:marRight w:val="0"/>
          <w:marTop w:val="0"/>
          <w:marBottom w:val="0"/>
          <w:divBdr>
            <w:top w:val="none" w:sz="0" w:space="0" w:color="auto"/>
            <w:left w:val="none" w:sz="0" w:space="0" w:color="auto"/>
            <w:bottom w:val="none" w:sz="0" w:space="0" w:color="auto"/>
            <w:right w:val="none" w:sz="0" w:space="0" w:color="auto"/>
          </w:divBdr>
        </w:div>
        <w:div w:id="1585604110">
          <w:marLeft w:val="274"/>
          <w:marRight w:val="0"/>
          <w:marTop w:val="0"/>
          <w:marBottom w:val="0"/>
          <w:divBdr>
            <w:top w:val="none" w:sz="0" w:space="0" w:color="auto"/>
            <w:left w:val="none" w:sz="0" w:space="0" w:color="auto"/>
            <w:bottom w:val="none" w:sz="0" w:space="0" w:color="auto"/>
            <w:right w:val="none" w:sz="0" w:space="0" w:color="auto"/>
          </w:divBdr>
        </w:div>
        <w:div w:id="1781290825">
          <w:marLeft w:val="274"/>
          <w:marRight w:val="0"/>
          <w:marTop w:val="0"/>
          <w:marBottom w:val="0"/>
          <w:divBdr>
            <w:top w:val="none" w:sz="0" w:space="0" w:color="auto"/>
            <w:left w:val="none" w:sz="0" w:space="0" w:color="auto"/>
            <w:bottom w:val="none" w:sz="0" w:space="0" w:color="auto"/>
            <w:right w:val="none" w:sz="0" w:space="0" w:color="auto"/>
          </w:divBdr>
        </w:div>
        <w:div w:id="1833982075">
          <w:marLeft w:val="274"/>
          <w:marRight w:val="0"/>
          <w:marTop w:val="0"/>
          <w:marBottom w:val="0"/>
          <w:divBdr>
            <w:top w:val="none" w:sz="0" w:space="0" w:color="auto"/>
            <w:left w:val="none" w:sz="0" w:space="0" w:color="auto"/>
            <w:bottom w:val="none" w:sz="0" w:space="0" w:color="auto"/>
            <w:right w:val="none" w:sz="0" w:space="0" w:color="auto"/>
          </w:divBdr>
        </w:div>
        <w:div w:id="2065792663">
          <w:marLeft w:val="274"/>
          <w:marRight w:val="0"/>
          <w:marTop w:val="0"/>
          <w:marBottom w:val="0"/>
          <w:divBdr>
            <w:top w:val="none" w:sz="0" w:space="0" w:color="auto"/>
            <w:left w:val="none" w:sz="0" w:space="0" w:color="auto"/>
            <w:bottom w:val="none" w:sz="0" w:space="0" w:color="auto"/>
            <w:right w:val="none" w:sz="0" w:space="0" w:color="auto"/>
          </w:divBdr>
        </w:div>
      </w:divsChild>
    </w:div>
    <w:div w:id="774832241">
      <w:bodyDiv w:val="1"/>
      <w:marLeft w:val="0"/>
      <w:marRight w:val="0"/>
      <w:marTop w:val="0"/>
      <w:marBottom w:val="0"/>
      <w:divBdr>
        <w:top w:val="none" w:sz="0" w:space="0" w:color="auto"/>
        <w:left w:val="none" w:sz="0" w:space="0" w:color="auto"/>
        <w:bottom w:val="none" w:sz="0" w:space="0" w:color="auto"/>
        <w:right w:val="none" w:sz="0" w:space="0" w:color="auto"/>
      </w:divBdr>
    </w:div>
    <w:div w:id="913852559">
      <w:bodyDiv w:val="1"/>
      <w:marLeft w:val="0"/>
      <w:marRight w:val="0"/>
      <w:marTop w:val="0"/>
      <w:marBottom w:val="0"/>
      <w:divBdr>
        <w:top w:val="none" w:sz="0" w:space="0" w:color="auto"/>
        <w:left w:val="none" w:sz="0" w:space="0" w:color="auto"/>
        <w:bottom w:val="none" w:sz="0" w:space="0" w:color="auto"/>
        <w:right w:val="none" w:sz="0" w:space="0" w:color="auto"/>
      </w:divBdr>
    </w:div>
    <w:div w:id="1045644310">
      <w:bodyDiv w:val="1"/>
      <w:marLeft w:val="0"/>
      <w:marRight w:val="0"/>
      <w:marTop w:val="0"/>
      <w:marBottom w:val="0"/>
      <w:divBdr>
        <w:top w:val="none" w:sz="0" w:space="0" w:color="auto"/>
        <w:left w:val="none" w:sz="0" w:space="0" w:color="auto"/>
        <w:bottom w:val="none" w:sz="0" w:space="0" w:color="auto"/>
        <w:right w:val="none" w:sz="0" w:space="0" w:color="auto"/>
      </w:divBdr>
    </w:div>
    <w:div w:id="1108039087">
      <w:bodyDiv w:val="1"/>
      <w:marLeft w:val="0"/>
      <w:marRight w:val="0"/>
      <w:marTop w:val="0"/>
      <w:marBottom w:val="0"/>
      <w:divBdr>
        <w:top w:val="none" w:sz="0" w:space="0" w:color="auto"/>
        <w:left w:val="none" w:sz="0" w:space="0" w:color="auto"/>
        <w:bottom w:val="none" w:sz="0" w:space="0" w:color="auto"/>
        <w:right w:val="none" w:sz="0" w:space="0" w:color="auto"/>
      </w:divBdr>
      <w:divsChild>
        <w:div w:id="188687864">
          <w:marLeft w:val="274"/>
          <w:marRight w:val="0"/>
          <w:marTop w:val="0"/>
          <w:marBottom w:val="0"/>
          <w:divBdr>
            <w:top w:val="none" w:sz="0" w:space="0" w:color="auto"/>
            <w:left w:val="none" w:sz="0" w:space="0" w:color="auto"/>
            <w:bottom w:val="none" w:sz="0" w:space="0" w:color="auto"/>
            <w:right w:val="none" w:sz="0" w:space="0" w:color="auto"/>
          </w:divBdr>
        </w:div>
        <w:div w:id="478426336">
          <w:marLeft w:val="274"/>
          <w:marRight w:val="0"/>
          <w:marTop w:val="0"/>
          <w:marBottom w:val="0"/>
          <w:divBdr>
            <w:top w:val="none" w:sz="0" w:space="0" w:color="auto"/>
            <w:left w:val="none" w:sz="0" w:space="0" w:color="auto"/>
            <w:bottom w:val="none" w:sz="0" w:space="0" w:color="auto"/>
            <w:right w:val="none" w:sz="0" w:space="0" w:color="auto"/>
          </w:divBdr>
        </w:div>
      </w:divsChild>
    </w:div>
    <w:div w:id="1309941372">
      <w:bodyDiv w:val="1"/>
      <w:marLeft w:val="0"/>
      <w:marRight w:val="0"/>
      <w:marTop w:val="0"/>
      <w:marBottom w:val="0"/>
      <w:divBdr>
        <w:top w:val="none" w:sz="0" w:space="0" w:color="auto"/>
        <w:left w:val="none" w:sz="0" w:space="0" w:color="auto"/>
        <w:bottom w:val="none" w:sz="0" w:space="0" w:color="auto"/>
        <w:right w:val="none" w:sz="0" w:space="0" w:color="auto"/>
      </w:divBdr>
      <w:divsChild>
        <w:div w:id="132502">
          <w:marLeft w:val="0"/>
          <w:marRight w:val="0"/>
          <w:marTop w:val="0"/>
          <w:marBottom w:val="0"/>
          <w:divBdr>
            <w:top w:val="none" w:sz="0" w:space="0" w:color="auto"/>
            <w:left w:val="none" w:sz="0" w:space="0" w:color="auto"/>
            <w:bottom w:val="none" w:sz="0" w:space="0" w:color="auto"/>
            <w:right w:val="none" w:sz="0" w:space="0" w:color="auto"/>
          </w:divBdr>
        </w:div>
        <w:div w:id="1102527678">
          <w:marLeft w:val="0"/>
          <w:marRight w:val="0"/>
          <w:marTop w:val="0"/>
          <w:marBottom w:val="0"/>
          <w:divBdr>
            <w:top w:val="none" w:sz="0" w:space="0" w:color="auto"/>
            <w:left w:val="none" w:sz="0" w:space="0" w:color="auto"/>
            <w:bottom w:val="none" w:sz="0" w:space="0" w:color="auto"/>
            <w:right w:val="none" w:sz="0" w:space="0" w:color="auto"/>
          </w:divBdr>
        </w:div>
        <w:div w:id="1158811751">
          <w:marLeft w:val="0"/>
          <w:marRight w:val="0"/>
          <w:marTop w:val="0"/>
          <w:marBottom w:val="0"/>
          <w:divBdr>
            <w:top w:val="none" w:sz="0" w:space="0" w:color="auto"/>
            <w:left w:val="none" w:sz="0" w:space="0" w:color="auto"/>
            <w:bottom w:val="none" w:sz="0" w:space="0" w:color="auto"/>
            <w:right w:val="none" w:sz="0" w:space="0" w:color="auto"/>
          </w:divBdr>
        </w:div>
      </w:divsChild>
    </w:div>
    <w:div w:id="1432553793">
      <w:bodyDiv w:val="1"/>
      <w:marLeft w:val="0"/>
      <w:marRight w:val="0"/>
      <w:marTop w:val="0"/>
      <w:marBottom w:val="0"/>
      <w:divBdr>
        <w:top w:val="none" w:sz="0" w:space="0" w:color="auto"/>
        <w:left w:val="none" w:sz="0" w:space="0" w:color="auto"/>
        <w:bottom w:val="none" w:sz="0" w:space="0" w:color="auto"/>
        <w:right w:val="none" w:sz="0" w:space="0" w:color="auto"/>
      </w:divBdr>
      <w:divsChild>
        <w:div w:id="43718199">
          <w:marLeft w:val="0"/>
          <w:marRight w:val="0"/>
          <w:marTop w:val="0"/>
          <w:marBottom w:val="0"/>
          <w:divBdr>
            <w:top w:val="none" w:sz="0" w:space="0" w:color="auto"/>
            <w:left w:val="none" w:sz="0" w:space="0" w:color="auto"/>
            <w:bottom w:val="none" w:sz="0" w:space="0" w:color="auto"/>
            <w:right w:val="none" w:sz="0" w:space="0" w:color="auto"/>
          </w:divBdr>
        </w:div>
        <w:div w:id="116410520">
          <w:marLeft w:val="0"/>
          <w:marRight w:val="0"/>
          <w:marTop w:val="0"/>
          <w:marBottom w:val="0"/>
          <w:divBdr>
            <w:top w:val="none" w:sz="0" w:space="0" w:color="auto"/>
            <w:left w:val="none" w:sz="0" w:space="0" w:color="auto"/>
            <w:bottom w:val="none" w:sz="0" w:space="0" w:color="auto"/>
            <w:right w:val="none" w:sz="0" w:space="0" w:color="auto"/>
          </w:divBdr>
        </w:div>
        <w:div w:id="392892158">
          <w:marLeft w:val="0"/>
          <w:marRight w:val="0"/>
          <w:marTop w:val="0"/>
          <w:marBottom w:val="0"/>
          <w:divBdr>
            <w:top w:val="none" w:sz="0" w:space="0" w:color="auto"/>
            <w:left w:val="none" w:sz="0" w:space="0" w:color="auto"/>
            <w:bottom w:val="none" w:sz="0" w:space="0" w:color="auto"/>
            <w:right w:val="none" w:sz="0" w:space="0" w:color="auto"/>
          </w:divBdr>
        </w:div>
        <w:div w:id="874003577">
          <w:marLeft w:val="0"/>
          <w:marRight w:val="0"/>
          <w:marTop w:val="0"/>
          <w:marBottom w:val="0"/>
          <w:divBdr>
            <w:top w:val="none" w:sz="0" w:space="0" w:color="auto"/>
            <w:left w:val="none" w:sz="0" w:space="0" w:color="auto"/>
            <w:bottom w:val="none" w:sz="0" w:space="0" w:color="auto"/>
            <w:right w:val="none" w:sz="0" w:space="0" w:color="auto"/>
          </w:divBdr>
        </w:div>
        <w:div w:id="1468208981">
          <w:marLeft w:val="0"/>
          <w:marRight w:val="0"/>
          <w:marTop w:val="0"/>
          <w:marBottom w:val="0"/>
          <w:divBdr>
            <w:top w:val="none" w:sz="0" w:space="0" w:color="auto"/>
            <w:left w:val="none" w:sz="0" w:space="0" w:color="auto"/>
            <w:bottom w:val="none" w:sz="0" w:space="0" w:color="auto"/>
            <w:right w:val="none" w:sz="0" w:space="0" w:color="auto"/>
          </w:divBdr>
        </w:div>
        <w:div w:id="1590695461">
          <w:marLeft w:val="0"/>
          <w:marRight w:val="0"/>
          <w:marTop w:val="0"/>
          <w:marBottom w:val="0"/>
          <w:divBdr>
            <w:top w:val="none" w:sz="0" w:space="0" w:color="auto"/>
            <w:left w:val="none" w:sz="0" w:space="0" w:color="auto"/>
            <w:bottom w:val="none" w:sz="0" w:space="0" w:color="auto"/>
            <w:right w:val="none" w:sz="0" w:space="0" w:color="auto"/>
          </w:divBdr>
        </w:div>
        <w:div w:id="2009601653">
          <w:marLeft w:val="0"/>
          <w:marRight w:val="0"/>
          <w:marTop w:val="0"/>
          <w:marBottom w:val="0"/>
          <w:divBdr>
            <w:top w:val="none" w:sz="0" w:space="0" w:color="auto"/>
            <w:left w:val="none" w:sz="0" w:space="0" w:color="auto"/>
            <w:bottom w:val="none" w:sz="0" w:space="0" w:color="auto"/>
            <w:right w:val="none" w:sz="0" w:space="0" w:color="auto"/>
          </w:divBdr>
        </w:div>
        <w:div w:id="2146848266">
          <w:marLeft w:val="0"/>
          <w:marRight w:val="0"/>
          <w:marTop w:val="0"/>
          <w:marBottom w:val="0"/>
          <w:divBdr>
            <w:top w:val="none" w:sz="0" w:space="0" w:color="auto"/>
            <w:left w:val="none" w:sz="0" w:space="0" w:color="auto"/>
            <w:bottom w:val="none" w:sz="0" w:space="0" w:color="auto"/>
            <w:right w:val="none" w:sz="0" w:space="0" w:color="auto"/>
          </w:divBdr>
        </w:div>
      </w:divsChild>
    </w:div>
    <w:div w:id="1464811248">
      <w:bodyDiv w:val="1"/>
      <w:marLeft w:val="0"/>
      <w:marRight w:val="0"/>
      <w:marTop w:val="0"/>
      <w:marBottom w:val="0"/>
      <w:divBdr>
        <w:top w:val="none" w:sz="0" w:space="0" w:color="auto"/>
        <w:left w:val="none" w:sz="0" w:space="0" w:color="auto"/>
        <w:bottom w:val="none" w:sz="0" w:space="0" w:color="auto"/>
        <w:right w:val="none" w:sz="0" w:space="0" w:color="auto"/>
      </w:divBdr>
    </w:div>
    <w:div w:id="1617327370">
      <w:bodyDiv w:val="1"/>
      <w:marLeft w:val="0"/>
      <w:marRight w:val="0"/>
      <w:marTop w:val="0"/>
      <w:marBottom w:val="0"/>
      <w:divBdr>
        <w:top w:val="none" w:sz="0" w:space="0" w:color="auto"/>
        <w:left w:val="none" w:sz="0" w:space="0" w:color="auto"/>
        <w:bottom w:val="none" w:sz="0" w:space="0" w:color="auto"/>
        <w:right w:val="none" w:sz="0" w:space="0" w:color="auto"/>
      </w:divBdr>
    </w:div>
    <w:div w:id="1658533623">
      <w:bodyDiv w:val="1"/>
      <w:marLeft w:val="0"/>
      <w:marRight w:val="0"/>
      <w:marTop w:val="0"/>
      <w:marBottom w:val="0"/>
      <w:divBdr>
        <w:top w:val="none" w:sz="0" w:space="0" w:color="auto"/>
        <w:left w:val="none" w:sz="0" w:space="0" w:color="auto"/>
        <w:bottom w:val="none" w:sz="0" w:space="0" w:color="auto"/>
        <w:right w:val="none" w:sz="0" w:space="0" w:color="auto"/>
      </w:divBdr>
    </w:div>
    <w:div w:id="1893806306">
      <w:bodyDiv w:val="1"/>
      <w:marLeft w:val="0"/>
      <w:marRight w:val="0"/>
      <w:marTop w:val="0"/>
      <w:marBottom w:val="0"/>
      <w:divBdr>
        <w:top w:val="none" w:sz="0" w:space="0" w:color="auto"/>
        <w:left w:val="none" w:sz="0" w:space="0" w:color="auto"/>
        <w:bottom w:val="none" w:sz="0" w:space="0" w:color="auto"/>
        <w:right w:val="none" w:sz="0" w:space="0" w:color="auto"/>
      </w:divBdr>
    </w:div>
    <w:div w:id="1959796645">
      <w:bodyDiv w:val="1"/>
      <w:marLeft w:val="0"/>
      <w:marRight w:val="0"/>
      <w:marTop w:val="0"/>
      <w:marBottom w:val="0"/>
      <w:divBdr>
        <w:top w:val="none" w:sz="0" w:space="0" w:color="auto"/>
        <w:left w:val="none" w:sz="0" w:space="0" w:color="auto"/>
        <w:bottom w:val="none" w:sz="0" w:space="0" w:color="auto"/>
        <w:right w:val="none" w:sz="0" w:space="0" w:color="auto"/>
      </w:divBdr>
      <w:divsChild>
        <w:div w:id="422915139">
          <w:marLeft w:val="274"/>
          <w:marRight w:val="0"/>
          <w:marTop w:val="0"/>
          <w:marBottom w:val="0"/>
          <w:divBdr>
            <w:top w:val="none" w:sz="0" w:space="0" w:color="auto"/>
            <w:left w:val="none" w:sz="0" w:space="0" w:color="auto"/>
            <w:bottom w:val="none" w:sz="0" w:space="0" w:color="auto"/>
            <w:right w:val="none" w:sz="0" w:space="0" w:color="auto"/>
          </w:divBdr>
        </w:div>
        <w:div w:id="670374143">
          <w:marLeft w:val="274"/>
          <w:marRight w:val="0"/>
          <w:marTop w:val="0"/>
          <w:marBottom w:val="0"/>
          <w:divBdr>
            <w:top w:val="none" w:sz="0" w:space="0" w:color="auto"/>
            <w:left w:val="none" w:sz="0" w:space="0" w:color="auto"/>
            <w:bottom w:val="none" w:sz="0" w:space="0" w:color="auto"/>
            <w:right w:val="none" w:sz="0" w:space="0" w:color="auto"/>
          </w:divBdr>
        </w:div>
      </w:divsChild>
    </w:div>
    <w:div w:id="2041516949">
      <w:bodyDiv w:val="1"/>
      <w:marLeft w:val="0"/>
      <w:marRight w:val="0"/>
      <w:marTop w:val="0"/>
      <w:marBottom w:val="0"/>
      <w:divBdr>
        <w:top w:val="none" w:sz="0" w:space="0" w:color="auto"/>
        <w:left w:val="none" w:sz="0" w:space="0" w:color="auto"/>
        <w:bottom w:val="none" w:sz="0" w:space="0" w:color="auto"/>
        <w:right w:val="none" w:sz="0" w:space="0" w:color="auto"/>
      </w:divBdr>
      <w:divsChild>
        <w:div w:id="331571717">
          <w:marLeft w:val="274"/>
          <w:marRight w:val="0"/>
          <w:marTop w:val="0"/>
          <w:marBottom w:val="0"/>
          <w:divBdr>
            <w:top w:val="none" w:sz="0" w:space="0" w:color="auto"/>
            <w:left w:val="none" w:sz="0" w:space="0" w:color="auto"/>
            <w:bottom w:val="none" w:sz="0" w:space="0" w:color="auto"/>
            <w:right w:val="none" w:sz="0" w:space="0" w:color="auto"/>
          </w:divBdr>
        </w:div>
        <w:div w:id="440490197">
          <w:marLeft w:val="274"/>
          <w:marRight w:val="0"/>
          <w:marTop w:val="0"/>
          <w:marBottom w:val="0"/>
          <w:divBdr>
            <w:top w:val="none" w:sz="0" w:space="0" w:color="auto"/>
            <w:left w:val="none" w:sz="0" w:space="0" w:color="auto"/>
            <w:bottom w:val="none" w:sz="0" w:space="0" w:color="auto"/>
            <w:right w:val="none" w:sz="0" w:space="0" w:color="auto"/>
          </w:divBdr>
        </w:div>
      </w:divsChild>
    </w:div>
    <w:div w:id="2074741877">
      <w:bodyDiv w:val="1"/>
      <w:marLeft w:val="0"/>
      <w:marRight w:val="0"/>
      <w:marTop w:val="0"/>
      <w:marBottom w:val="0"/>
      <w:divBdr>
        <w:top w:val="none" w:sz="0" w:space="0" w:color="auto"/>
        <w:left w:val="none" w:sz="0" w:space="0" w:color="auto"/>
        <w:bottom w:val="none" w:sz="0" w:space="0" w:color="auto"/>
        <w:right w:val="none" w:sz="0" w:space="0" w:color="auto"/>
      </w:divBdr>
      <w:divsChild>
        <w:div w:id="664552409">
          <w:marLeft w:val="274"/>
          <w:marRight w:val="0"/>
          <w:marTop w:val="0"/>
          <w:marBottom w:val="0"/>
          <w:divBdr>
            <w:top w:val="none" w:sz="0" w:space="0" w:color="auto"/>
            <w:left w:val="none" w:sz="0" w:space="0" w:color="auto"/>
            <w:bottom w:val="none" w:sz="0" w:space="0" w:color="auto"/>
            <w:right w:val="none" w:sz="0" w:space="0" w:color="auto"/>
          </w:divBdr>
        </w:div>
        <w:div w:id="138467604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qc.org.uk/about-us/our-strategy-plans/our-equality-objectives-2021-2025"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4eb8e60-2493-4477-8ceb-5a8680aae7ec">
      <UserInfo>
        <DisplayName>Duncan, Lisa</DisplayName>
        <AccountId>1986</AccountId>
        <AccountType/>
      </UserInfo>
      <UserInfo>
        <DisplayName>Frederick, Joyce</DisplayName>
        <AccountId>204</AccountId>
        <AccountType/>
      </UserInfo>
      <UserInfo>
        <DisplayName>Lam, Ricky</DisplayName>
        <AccountId>463</AccountId>
        <AccountType/>
      </UserInfo>
      <UserInfo>
        <DisplayName>Wilkinson, Lucy</DisplayName>
        <AccountId>17</AccountId>
        <AccountType/>
      </UserInfo>
      <UserInfo>
        <DisplayName>Nicholson, Gill</DisplayName>
        <AccountId>653</AccountId>
        <AccountType/>
      </UserInfo>
      <UserInfo>
        <DisplayName>Trenholm, Ian</DisplayName>
        <AccountId>31</AccountId>
        <AccountType/>
      </UserInfo>
      <UserInfo>
        <DisplayName>CEO_Office</DisplayName>
        <AccountId>2087</AccountId>
        <AccountType/>
      </UserInfo>
      <UserInfo>
        <DisplayName>Mackay, Rachel</DisplayName>
        <AccountId>2099</AccountId>
        <AccountType/>
      </UserInfo>
      <UserInfo>
        <DisplayName>Petrou, Felix</DisplayName>
        <AccountId>565</AccountId>
        <AccountType/>
      </UserInfo>
      <UserInfo>
        <DisplayName>Georghiou, Emily</DisplayName>
        <AccountId>2466</AccountId>
        <AccountType/>
      </UserInfo>
      <UserInfo>
        <DisplayName>Flaws, Margaret</DisplayName>
        <AccountId>18</AccountId>
        <AccountType/>
      </UserInfo>
    </SharedWithUsers>
    <lcf76f155ced4ddcb4097134ff3c332f xmlns="6b8ee4d9-745d-445f-ab3b-ad8596800c33">
      <Terms xmlns="http://schemas.microsoft.com/office/infopath/2007/PartnerControls"/>
    </lcf76f155ced4ddcb4097134ff3c332f>
    <TaxCatchAll xmlns="44eb8e60-2493-4477-8ceb-5a8680aae7e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7B8BB6921D8E408D171EB49A2C56B0" ma:contentTypeVersion="15" ma:contentTypeDescription="Create a new document." ma:contentTypeScope="" ma:versionID="c62c318b1a926a85188a32d79e0f9b3c">
  <xsd:schema xmlns:xsd="http://www.w3.org/2001/XMLSchema" xmlns:xs="http://www.w3.org/2001/XMLSchema" xmlns:p="http://schemas.microsoft.com/office/2006/metadata/properties" xmlns:ns2="6b8ee4d9-745d-445f-ab3b-ad8596800c33" xmlns:ns3="44eb8e60-2493-4477-8ceb-5a8680aae7ec" targetNamespace="http://schemas.microsoft.com/office/2006/metadata/properties" ma:root="true" ma:fieldsID="8b47e7827c401403a06fbb6b1053f252" ns2:_="" ns3:_="">
    <xsd:import namespace="6b8ee4d9-745d-445f-ab3b-ad8596800c33"/>
    <xsd:import namespace="44eb8e60-2493-4477-8ceb-5a8680aae7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ee4d9-745d-445f-ab3b-ad8596800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df9d8e5-705b-4129-800a-08ca17c575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eb8e60-2493-4477-8ceb-5a8680aae7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24e3270-ac21-4839-9983-8de35527c325}" ma:internalName="TaxCatchAll" ma:showField="CatchAllData" ma:web="44eb8e60-2493-4477-8ceb-5a8680aae7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7384C-9CFC-4D51-9C14-7FD08078D32B}">
  <ds:schemaRefs>
    <ds:schemaRef ds:uri="http://schemas.microsoft.com/office/2006/metadata/properties"/>
    <ds:schemaRef ds:uri="http://schemas.microsoft.com/office/infopath/2007/PartnerControls"/>
    <ds:schemaRef ds:uri="44eb8e60-2493-4477-8ceb-5a8680aae7ec"/>
    <ds:schemaRef ds:uri="6b8ee4d9-745d-445f-ab3b-ad8596800c33"/>
  </ds:schemaRefs>
</ds:datastoreItem>
</file>

<file path=customXml/itemProps2.xml><?xml version="1.0" encoding="utf-8"?>
<ds:datastoreItem xmlns:ds="http://schemas.openxmlformats.org/officeDocument/2006/customXml" ds:itemID="{E239F1F3-1678-4639-8C62-60E6521841AE}">
  <ds:schemaRefs>
    <ds:schemaRef ds:uri="http://schemas.microsoft.com/sharepoint/v3/contenttype/forms"/>
  </ds:schemaRefs>
</ds:datastoreItem>
</file>

<file path=customXml/itemProps3.xml><?xml version="1.0" encoding="utf-8"?>
<ds:datastoreItem xmlns:ds="http://schemas.openxmlformats.org/officeDocument/2006/customXml" ds:itemID="{6C497C8E-A54E-4E23-9AB4-A33565755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ee4d9-745d-445f-ab3b-ad8596800c33"/>
    <ds:schemaRef ds:uri="44eb8e60-2493-4477-8ceb-5a8680aae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55A280-33FD-4635-9BF0-6DAB629CA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3952</Words>
  <Characters>22530</Characters>
  <Application>Microsoft Office Word</Application>
  <DocSecurity>0</DocSecurity>
  <Lines>187</Lines>
  <Paragraphs>52</Paragraphs>
  <ScaleCrop>false</ScaleCrop>
  <Company>Care Quality Commission</Company>
  <LinksUpToDate>false</LinksUpToDate>
  <CharactersWithSpaces>26430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Wilkinson, Lucy</dc:creator>
  <cp:keywords/>
  <dc:description/>
  <cp:lastModifiedBy>Hadfield, Claire</cp:lastModifiedBy>
  <cp:revision>79</cp:revision>
  <dcterms:created xsi:type="dcterms:W3CDTF">2022-06-29T04:54:00Z</dcterms:created>
  <dcterms:modified xsi:type="dcterms:W3CDTF">2022-07-12T10:27:00Z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0x010100517B8BB6921D8E408D171EB49A2C56B0</vt:lpwstr>
  </property>
</Properties>
</file>